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808EBA">
      <w:pPr>
        <w:spacing w:before="107" w:line="209" w:lineRule="auto"/>
        <w:ind w:left="42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《庄河市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荷花山镇同巨村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村庄规划（2021-2035年）》</w:t>
      </w:r>
    </w:p>
    <w:p w14:paraId="1368D8C5">
      <w:pPr>
        <w:spacing w:before="107" w:line="209" w:lineRule="auto"/>
        <w:ind w:left="42"/>
        <w:jc w:val="center"/>
        <w:rPr>
          <w:rFonts w:hint="eastAsia" w:ascii="宋体" w:hAnsi="宋体" w:eastAsia="宋体" w:cs="宋体"/>
          <w:spacing w:val="5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pacing w:val="5"/>
          <w:sz w:val="32"/>
          <w:szCs w:val="32"/>
        </w:rPr>
        <w:t>公</w:t>
      </w:r>
      <w:r>
        <w:rPr>
          <w:rFonts w:hint="eastAsia" w:ascii="宋体" w:hAnsi="宋体" w:eastAsia="宋体" w:cs="宋体"/>
          <w:b/>
          <w:bCs/>
          <w:spacing w:val="5"/>
          <w:sz w:val="32"/>
          <w:szCs w:val="32"/>
          <w:lang w:eastAsia="zh-CN"/>
        </w:rPr>
        <w:t>示</w:t>
      </w:r>
    </w:p>
    <w:p w14:paraId="64E43FBD">
      <w:pPr>
        <w:spacing w:before="107" w:line="209" w:lineRule="auto"/>
        <w:ind w:left="42"/>
        <w:jc w:val="center"/>
        <w:rPr>
          <w:rFonts w:hint="eastAsia" w:ascii="宋体" w:hAnsi="宋体" w:eastAsia="宋体" w:cs="宋体"/>
          <w:spacing w:val="5"/>
          <w:sz w:val="32"/>
          <w:szCs w:val="32"/>
        </w:rPr>
      </w:pPr>
    </w:p>
    <w:p w14:paraId="6581147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6"/>
          <w:sz w:val="30"/>
          <w:szCs w:val="30"/>
        </w:rPr>
        <w:t>一、基本情况</w:t>
      </w:r>
    </w:p>
    <w:p w14:paraId="4D4FCD83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6"/>
        </w:rPr>
        <w:t>1.区域位置</w:t>
      </w:r>
    </w:p>
    <w:p w14:paraId="450898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napToGrid/>
          <w:color w:val="auto"/>
          <w:kern w:val="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color w:val="auto"/>
          <w:kern w:val="2"/>
          <w:sz w:val="30"/>
          <w:szCs w:val="30"/>
          <w:lang w:val="en-US" w:eastAsia="zh-CN"/>
        </w:rPr>
        <w:t>荷花山镇隶属于辽宁省大连庄河市，地处庄河市西北部，北邻桂云花满族乡、东邻长岭镇，南邻城山镇，西侧与碧流河水库相依。辖区东西最大距离10.1千米，南北最大距离152千米，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距庄河市区约5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0公里。</w:t>
      </w:r>
      <w:r>
        <w:rPr>
          <w:rFonts w:hint="eastAsia" w:ascii="仿宋_GB2312" w:hAnsi="仿宋_GB2312" w:eastAsia="仿宋_GB2312" w:cs="仿宋_GB2312"/>
          <w:b w:val="0"/>
          <w:bCs w:val="0"/>
          <w:snapToGrid/>
          <w:color w:val="auto"/>
          <w:kern w:val="2"/>
          <w:sz w:val="30"/>
          <w:szCs w:val="30"/>
          <w:lang w:val="en-US" w:eastAsia="zh-CN"/>
        </w:rPr>
        <w:t>同巨村位于荷花山镇北部，与吉顺村、万亿村接壤。同巨村交通便利，主要交通路线包括305国道、同皮线、同吉线等。</w:t>
      </w:r>
    </w:p>
    <w:p w14:paraId="48C4CB57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rPr>
          <w:rFonts w:hint="eastAsia" w:ascii="仿宋_GB2312" w:hAnsi="仿宋_GB2312" w:eastAsia="仿宋_GB2312" w:cs="仿宋_GB2312"/>
          <w:spacing w:val="-6"/>
        </w:rPr>
      </w:pPr>
      <w:r>
        <w:rPr>
          <w:rFonts w:hint="eastAsia" w:ascii="仿宋_GB2312" w:hAnsi="仿宋_GB2312" w:eastAsia="仿宋_GB2312" w:cs="仿宋_GB2312"/>
          <w:spacing w:val="-6"/>
        </w:rPr>
        <w:t>2.规划范围</w:t>
      </w:r>
    </w:p>
    <w:p w14:paraId="513DCED5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本次规划范围为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同巨村</w:t>
      </w:r>
      <w:r>
        <w:rPr>
          <w:rFonts w:hint="eastAsia" w:ascii="仿宋_GB2312" w:hAnsi="仿宋_GB2312" w:eastAsia="仿宋_GB2312" w:cs="仿宋_GB2312"/>
          <w:spacing w:val="-5"/>
        </w:rPr>
        <w:t>行政辖区内全部国土空间，总面积约</w:t>
      </w:r>
      <w:r>
        <w:rPr>
          <w:rFonts w:hint="eastAsia" w:ascii="仿宋_GB2312" w:hAnsi="仿宋_GB2312" w:eastAsia="仿宋_GB2312" w:cs="仿宋_GB2312"/>
          <w:spacing w:val="-9"/>
        </w:rPr>
        <w:t>为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3873.39公顷</w:t>
      </w:r>
      <w:r>
        <w:rPr>
          <w:rFonts w:hint="eastAsia" w:ascii="仿宋_GB2312" w:hAnsi="仿宋_GB2312" w:eastAsia="仿宋_GB2312" w:cs="仿宋_GB2312"/>
          <w:spacing w:val="-9"/>
        </w:rPr>
        <w:t>。</w:t>
      </w:r>
    </w:p>
    <w:p w14:paraId="3D9EC9A5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</w:rPr>
        <w:t>3.规划期限</w:t>
      </w:r>
    </w:p>
    <w:p w14:paraId="7D285975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</w:pPr>
      <w:r>
        <w:rPr>
          <w:rFonts w:hint="eastAsia" w:ascii="仿宋_GB2312" w:hAnsi="仿宋_GB2312" w:eastAsia="仿宋_GB2312" w:cs="仿宋_GB2312"/>
          <w:spacing w:val="-5"/>
        </w:rPr>
        <w:t>规划基期2020年，近期至2025年，远期至2035年。</w:t>
      </w:r>
    </w:p>
    <w:p w14:paraId="259B3D4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5"/>
          <w:sz w:val="30"/>
          <w:szCs w:val="30"/>
        </w:rPr>
        <w:t>二、国土空间管控</w:t>
      </w:r>
    </w:p>
    <w:p w14:paraId="6C1969F7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92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2"/>
        </w:rPr>
        <w:t>《庄河市</w:t>
      </w:r>
      <w:r>
        <w:rPr>
          <w:rFonts w:hint="eastAsia" w:ascii="仿宋_GB2312" w:hAnsi="仿宋_GB2312" w:eastAsia="仿宋_GB2312" w:cs="仿宋_GB2312"/>
          <w:spacing w:val="-2"/>
          <w:lang w:eastAsia="zh-CN"/>
        </w:rPr>
        <w:t>荷花山镇</w:t>
      </w:r>
      <w:r>
        <w:rPr>
          <w:rFonts w:hint="eastAsia" w:ascii="仿宋_GB2312" w:hAnsi="仿宋_GB2312" w:eastAsia="仿宋_GB2312" w:cs="仿宋_GB2312"/>
          <w:spacing w:val="-2"/>
        </w:rPr>
        <w:t>国土空间总体规划（2021-2035年</w:t>
      </w:r>
      <w:r>
        <w:rPr>
          <w:rFonts w:hint="eastAsia" w:ascii="仿宋_GB2312" w:hAnsi="仿宋_GB2312" w:eastAsia="仿宋_GB2312" w:cs="仿宋_GB2312"/>
          <w:spacing w:val="-3"/>
        </w:rPr>
        <w:t>）》将</w:t>
      </w:r>
      <w:r>
        <w:rPr>
          <w:rFonts w:hint="eastAsia" w:ascii="仿宋_GB2312" w:hAnsi="仿宋_GB2312" w:eastAsia="仿宋_GB2312" w:cs="仿宋_GB2312"/>
          <w:spacing w:val="-3"/>
          <w:lang w:eastAsia="zh-CN"/>
        </w:rPr>
        <w:t>同巨村</w:t>
      </w:r>
      <w:r>
        <w:rPr>
          <w:rFonts w:hint="eastAsia" w:ascii="仿宋_GB2312" w:hAnsi="仿宋_GB2312" w:eastAsia="仿宋_GB2312" w:cs="仿宋_GB2312"/>
          <w:spacing w:val="-2"/>
        </w:rPr>
        <w:t>定位为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特色保护类村庄</w:t>
      </w:r>
      <w:r>
        <w:rPr>
          <w:rFonts w:hint="eastAsia" w:ascii="仿宋_GB2312" w:hAnsi="仿宋_GB2312" w:eastAsia="仿宋_GB2312" w:cs="仿宋_GB2312"/>
          <w:spacing w:val="-2"/>
        </w:rPr>
        <w:t>。明确</w:t>
      </w:r>
      <w:r>
        <w:rPr>
          <w:rFonts w:hint="eastAsia" w:ascii="仿宋_GB2312" w:hAnsi="仿宋_GB2312" w:eastAsia="仿宋_GB2312" w:cs="仿宋_GB2312"/>
          <w:spacing w:val="-2"/>
          <w:lang w:eastAsia="zh-CN"/>
        </w:rPr>
        <w:t>同巨村</w:t>
      </w:r>
      <w:r>
        <w:rPr>
          <w:rFonts w:hint="eastAsia" w:ascii="仿宋_GB2312" w:hAnsi="仿宋_GB2312" w:eastAsia="仿宋_GB2312" w:cs="仿宋_GB2312"/>
          <w:spacing w:val="-2"/>
        </w:rPr>
        <w:t>2035年乡村常住人口</w:t>
      </w:r>
      <w:r>
        <w:rPr>
          <w:rFonts w:hint="eastAsia" w:ascii="仿宋_GB2312" w:hAnsi="仿宋_GB2312" w:eastAsia="仿宋_GB2312" w:cs="仿宋_GB2312"/>
          <w:spacing w:val="-6"/>
        </w:rPr>
        <w:t>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2300</w:t>
      </w:r>
      <w:r>
        <w:rPr>
          <w:rFonts w:hint="eastAsia" w:ascii="仿宋_GB2312" w:hAnsi="仿宋_GB2312" w:eastAsia="仿宋_GB2312" w:cs="仿宋_GB2312"/>
          <w:spacing w:val="-6"/>
        </w:rPr>
        <w:t>人。约束性指标包括：永久基本农田面积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410.00</w:t>
      </w:r>
      <w:r>
        <w:rPr>
          <w:rFonts w:hint="eastAsia" w:ascii="仿宋_GB2312" w:hAnsi="仿宋_GB2312" w:eastAsia="仿宋_GB2312" w:cs="仿宋_GB2312"/>
          <w:spacing w:val="-6"/>
        </w:rPr>
        <w:t>公顷，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生态保护红线面积1028.86公顷，</w:t>
      </w:r>
      <w:r>
        <w:rPr>
          <w:rFonts w:hint="eastAsia" w:ascii="仿宋_GB2312" w:hAnsi="仿宋_GB2312" w:eastAsia="仿宋_GB2312" w:cs="仿宋_GB2312"/>
          <w:spacing w:val="-3"/>
        </w:rPr>
        <w:t>耕地保有量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2549.88</w:t>
      </w:r>
      <w:r>
        <w:rPr>
          <w:rFonts w:hint="eastAsia" w:ascii="仿宋_GB2312" w:hAnsi="仿宋_GB2312" w:eastAsia="仿宋_GB2312" w:cs="仿宋_GB2312"/>
          <w:spacing w:val="-3"/>
        </w:rPr>
        <w:t>公顷，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湿地面积1.60公顷，</w:t>
      </w:r>
      <w:r>
        <w:rPr>
          <w:rFonts w:hint="eastAsia" w:ascii="仿宋_GB2312" w:hAnsi="仿宋_GB2312" w:eastAsia="仿宋_GB2312" w:cs="仿宋_GB2312"/>
          <w:spacing w:val="-3"/>
        </w:rPr>
        <w:t>村庄建设</w:t>
      </w:r>
      <w:r>
        <w:rPr>
          <w:rFonts w:hint="eastAsia" w:ascii="仿宋_GB2312" w:hAnsi="仿宋_GB2312" w:eastAsia="仿宋_GB2312" w:cs="仿宋_GB2312"/>
          <w:spacing w:val="-4"/>
        </w:rPr>
        <w:t>边界</w:t>
      </w:r>
      <w:r>
        <w:rPr>
          <w:rFonts w:hint="eastAsia" w:ascii="仿宋_GB2312" w:hAnsi="仿宋_GB2312" w:eastAsia="仿宋_GB2312" w:cs="仿宋_GB2312"/>
          <w:spacing w:val="-6"/>
        </w:rPr>
        <w:t>面积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89.42</w:t>
      </w:r>
      <w:r>
        <w:rPr>
          <w:rFonts w:hint="eastAsia" w:ascii="仿宋_GB2312" w:hAnsi="仿宋_GB2312" w:eastAsia="仿宋_GB2312" w:cs="仿宋_GB2312"/>
          <w:spacing w:val="-6"/>
        </w:rPr>
        <w:t>公顷。</w:t>
      </w:r>
    </w:p>
    <w:p w14:paraId="064FBE93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1.保障农业空间</w:t>
      </w:r>
    </w:p>
    <w:p w14:paraId="6C1CDCF8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农业空间包括耕地、园地、设施农用地等。规划形成</w:t>
      </w:r>
      <w:r>
        <w:rPr>
          <w:rFonts w:hint="eastAsia" w:ascii="仿宋_GB2312" w:hAnsi="仿宋_GB2312" w:eastAsia="仿宋_GB2312" w:cs="仿宋_GB2312"/>
          <w:spacing w:val="-5"/>
          <w:lang w:val="en-US" w:eastAsia="zh-CN"/>
        </w:rPr>
        <w:t>两</w:t>
      </w:r>
      <w:r>
        <w:rPr>
          <w:rFonts w:hint="eastAsia" w:ascii="仿宋_GB2312" w:hAnsi="仿宋_GB2312" w:eastAsia="仿宋_GB2312" w:cs="仿宋_GB2312"/>
          <w:spacing w:val="-5"/>
        </w:rPr>
        <w:t>大农</w:t>
      </w:r>
      <w:r>
        <w:rPr>
          <w:rFonts w:hint="eastAsia" w:ascii="仿宋_GB2312" w:hAnsi="仿宋_GB2312" w:eastAsia="仿宋_GB2312" w:cs="仿宋_GB2312"/>
          <w:spacing w:val="-1"/>
        </w:rPr>
        <w:t>业片区，即</w:t>
      </w:r>
      <w:r>
        <w:rPr>
          <w:rFonts w:hint="eastAsia" w:ascii="仿宋_GB2312" w:hAnsi="仿宋_GB2312" w:eastAsia="仿宋_GB2312" w:cs="仿宋_GB2312"/>
          <w:spacing w:val="-1"/>
          <w:lang w:val="en-US" w:eastAsia="zh-CN"/>
        </w:rPr>
        <w:t>经济果林种植区</w:t>
      </w:r>
      <w:r>
        <w:rPr>
          <w:rFonts w:hint="eastAsia" w:ascii="仿宋_GB2312" w:hAnsi="仿宋_GB2312" w:eastAsia="仿宋_GB2312" w:cs="仿宋_GB2312"/>
          <w:spacing w:val="-1"/>
        </w:rPr>
        <w:t>、</w:t>
      </w:r>
      <w:r>
        <w:rPr>
          <w:rFonts w:hint="eastAsia" w:ascii="仿宋_GB2312" w:hAnsi="仿宋_GB2312" w:eastAsia="仿宋_GB2312" w:cs="仿宋_GB2312"/>
          <w:spacing w:val="-1"/>
          <w:lang w:val="en-US" w:eastAsia="zh-CN"/>
        </w:rPr>
        <w:t>粮食作物种植</w:t>
      </w:r>
      <w:r>
        <w:rPr>
          <w:rFonts w:hint="eastAsia" w:ascii="仿宋_GB2312" w:hAnsi="仿宋_GB2312" w:eastAsia="仿宋_GB2312" w:cs="仿宋_GB2312"/>
          <w:spacing w:val="-1"/>
        </w:rPr>
        <w:t>区。</w:t>
      </w:r>
    </w:p>
    <w:p w14:paraId="5C44B16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8" w:firstLineChars="200"/>
        <w:jc w:val="both"/>
        <w:textAlignment w:val="baseline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13"/>
        </w:rPr>
        <w:t>统筹安排农业发展空间，坚持农地农用，稳定粮食播种面积</w:t>
      </w:r>
      <w:r>
        <w:rPr>
          <w:rFonts w:hint="eastAsia" w:ascii="仿宋_GB2312" w:hAnsi="仿宋_GB2312" w:eastAsia="仿宋_GB2312" w:cs="仿宋_GB2312"/>
          <w:spacing w:val="-13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4"/>
        </w:rPr>
        <w:t>鼓励发展多功能复合、多业态融合的绿色高效农业。规划</w:t>
      </w:r>
      <w:r>
        <w:rPr>
          <w:rFonts w:hint="eastAsia" w:ascii="仿宋_GB2312" w:hAnsi="仿宋_GB2312" w:eastAsia="仿宋_GB2312" w:cs="仿宋_GB2312"/>
          <w:spacing w:val="-5"/>
        </w:rPr>
        <w:t>果园面</w:t>
      </w:r>
      <w:r>
        <w:rPr>
          <w:rFonts w:hint="eastAsia" w:ascii="仿宋_GB2312" w:hAnsi="仿宋_GB2312" w:eastAsia="仿宋_GB2312" w:cs="仿宋_GB2312"/>
          <w:spacing w:val="-3"/>
        </w:rPr>
        <w:t>积约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88.11</w:t>
      </w:r>
      <w:r>
        <w:rPr>
          <w:rFonts w:hint="eastAsia" w:ascii="仿宋_GB2312" w:hAnsi="仿宋_GB2312" w:eastAsia="仿宋_GB2312" w:cs="仿宋_GB2312"/>
          <w:spacing w:val="-3"/>
        </w:rPr>
        <w:t>公顷，引导形成果蔬种植、果蔬采摘、乡村</w:t>
      </w:r>
      <w:r>
        <w:rPr>
          <w:rFonts w:hint="eastAsia" w:ascii="仿宋_GB2312" w:hAnsi="仿宋_GB2312" w:eastAsia="仿宋_GB2312" w:cs="仿宋_GB2312"/>
          <w:spacing w:val="-4"/>
        </w:rPr>
        <w:t>休闲旅游、观光农业融合发展的现代农业基地。尽量利用未利用地、</w:t>
      </w:r>
      <w:r>
        <w:rPr>
          <w:rFonts w:hint="eastAsia" w:ascii="仿宋_GB2312" w:hAnsi="仿宋_GB2312" w:eastAsia="仿宋_GB2312" w:cs="仿宋_GB2312"/>
          <w:spacing w:val="-5"/>
        </w:rPr>
        <w:t>农村闲</w:t>
      </w:r>
      <w:r>
        <w:rPr>
          <w:rFonts w:hint="eastAsia" w:ascii="仿宋_GB2312" w:hAnsi="仿宋_GB2312" w:eastAsia="仿宋_GB2312" w:cs="仿宋_GB2312"/>
          <w:spacing w:val="-1"/>
        </w:rPr>
        <w:t>置设施农业用地及存量利用效率低下的建设用地发展</w:t>
      </w:r>
      <w:r>
        <w:rPr>
          <w:rFonts w:hint="eastAsia" w:ascii="仿宋_GB2312" w:hAnsi="仿宋_GB2312" w:eastAsia="仿宋_GB2312" w:cs="仿宋_GB2312"/>
          <w:spacing w:val="-2"/>
        </w:rPr>
        <w:t>设施农业。</w:t>
      </w:r>
      <w:r>
        <w:rPr>
          <w:rFonts w:hint="eastAsia" w:ascii="仿宋_GB2312" w:hAnsi="仿宋_GB2312" w:eastAsia="仿宋_GB2312" w:cs="仿宋_GB2312"/>
          <w:spacing w:val="-4"/>
        </w:rPr>
        <w:t>农业规模经营必须兴建的配套设施，在不占用永久基本农</w:t>
      </w:r>
      <w:r>
        <w:rPr>
          <w:rFonts w:hint="eastAsia" w:ascii="仿宋_GB2312" w:hAnsi="仿宋_GB2312" w:eastAsia="仿宋_GB2312" w:cs="仿宋_GB2312"/>
          <w:spacing w:val="-5"/>
        </w:rPr>
        <w:t>田的前</w:t>
      </w:r>
      <w:r>
        <w:rPr>
          <w:rFonts w:hint="eastAsia" w:ascii="仿宋_GB2312" w:hAnsi="仿宋_GB2312" w:eastAsia="仿宋_GB2312" w:cs="仿宋_GB2312"/>
          <w:spacing w:val="-1"/>
        </w:rPr>
        <w:t>提下，按相关规定要求纳入设施农用地管理。</w:t>
      </w:r>
    </w:p>
    <w:p w14:paraId="45C0C8A3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分类优化设置田间道，具有农田耕作、农业物资运输等现代化农业生产功能的田间道，道路宽度宜控制在</w:t>
      </w:r>
      <w:r>
        <w:rPr>
          <w:rFonts w:hint="eastAsia" w:ascii="仿宋_GB2312" w:hAnsi="仿宋_GB2312" w:eastAsia="仿宋_GB2312" w:cs="仿宋_GB2312"/>
          <w:spacing w:val="-6"/>
        </w:rPr>
        <w:t>3-6米；以步行功能为主的生产路，宽度控制</w:t>
      </w:r>
      <w:r>
        <w:rPr>
          <w:rFonts w:hint="eastAsia" w:ascii="仿宋_GB2312" w:hAnsi="仿宋_GB2312" w:eastAsia="仿宋_GB2312" w:cs="仿宋_GB2312"/>
          <w:spacing w:val="-6"/>
          <w:lang w:eastAsia="zh-CN"/>
        </w:rPr>
        <w:t>在</w:t>
      </w:r>
      <w:r>
        <w:rPr>
          <w:rFonts w:hint="eastAsia" w:ascii="仿宋_GB2312" w:hAnsi="仿宋_GB2312" w:eastAsia="仿宋_GB2312" w:cs="仿宋_GB2312"/>
          <w:spacing w:val="-6"/>
        </w:rPr>
        <w:t>1</w:t>
      </w:r>
      <w:r>
        <w:rPr>
          <w:rFonts w:hint="eastAsia" w:ascii="仿宋_GB2312" w:hAnsi="仿宋_GB2312" w:eastAsia="仿宋_GB2312" w:cs="仿宋_GB2312"/>
          <w:spacing w:val="-6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pacing w:val="-6"/>
        </w:rPr>
        <w:t>5-3米；同时可结合休闲旅游节点</w:t>
      </w:r>
      <w:r>
        <w:rPr>
          <w:rFonts w:hint="eastAsia" w:ascii="仿宋_GB2312" w:hAnsi="仿宋_GB2312" w:eastAsia="仿宋_GB2312" w:cs="仿宋_GB2312"/>
          <w:spacing w:val="-3"/>
        </w:rPr>
        <w:t>设置慢行步道。</w:t>
      </w:r>
    </w:p>
    <w:p w14:paraId="41556765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92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2"/>
        </w:rPr>
        <w:t>2.保护生态空间</w:t>
      </w:r>
    </w:p>
    <w:p w14:paraId="6126E989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textAlignment w:val="baseline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严守生态保护底线，严格落实上位规划传导的生态红线，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同巨村</w:t>
      </w:r>
      <w:r>
        <w:rPr>
          <w:rFonts w:hint="eastAsia" w:ascii="仿宋_GB2312" w:hAnsi="仿宋_GB2312" w:eastAsia="仿宋_GB2312" w:cs="仿宋_GB2312"/>
          <w:spacing w:val="-4"/>
        </w:rPr>
        <w:t>生态红线主要类型为水土保持功能</w:t>
      </w:r>
      <w:r>
        <w:rPr>
          <w:rFonts w:hint="eastAsia" w:ascii="仿宋_GB2312" w:hAnsi="仿宋_GB2312" w:eastAsia="仿宋_GB2312" w:cs="仿宋_GB2312"/>
          <w:spacing w:val="-5"/>
        </w:rPr>
        <w:t>，</w:t>
      </w:r>
      <w:r>
        <w:rPr>
          <w:rFonts w:hint="eastAsia" w:ascii="仿宋_GB2312" w:hAnsi="仿宋_GB2312" w:eastAsia="仿宋_GB2312" w:cs="仿宋_GB2312"/>
          <w:spacing w:val="-4"/>
        </w:rPr>
        <w:t>总面积约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1028.86</w:t>
      </w:r>
      <w:r>
        <w:rPr>
          <w:rFonts w:hint="eastAsia" w:ascii="仿宋_GB2312" w:hAnsi="仿宋_GB2312" w:eastAsia="仿宋_GB2312" w:cs="仿宋_GB2312"/>
          <w:spacing w:val="-5"/>
        </w:rPr>
        <w:t>公顷，</w:t>
      </w:r>
      <w:r>
        <w:rPr>
          <w:rFonts w:hint="eastAsia" w:ascii="仿宋_GB2312" w:hAnsi="仿宋_GB2312" w:eastAsia="仿宋_GB2312" w:cs="仿宋_GB2312"/>
          <w:spacing w:val="-4"/>
        </w:rPr>
        <w:t>主要位于</w:t>
      </w:r>
      <w:r>
        <w:rPr>
          <w:rFonts w:hint="eastAsia" w:ascii="仿宋_GB2312" w:hAnsi="仿宋_GB2312" w:eastAsia="仿宋_GB2312" w:cs="仿宋_GB2312"/>
          <w:spacing w:val="-4"/>
          <w:lang w:eastAsia="zh-CN"/>
        </w:rPr>
        <w:t>同巨村</w:t>
      </w:r>
      <w:r>
        <w:rPr>
          <w:rFonts w:hint="eastAsia" w:ascii="仿宋_GB2312" w:hAnsi="仿宋_GB2312" w:eastAsia="仿宋_GB2312" w:cs="仿宋_GB2312"/>
          <w:spacing w:val="-4"/>
        </w:rPr>
        <w:t>村域</w:t>
      </w:r>
      <w:r>
        <w:rPr>
          <w:rFonts w:hint="eastAsia" w:ascii="仿宋_GB2312" w:hAnsi="仿宋_GB2312" w:eastAsia="仿宋_GB2312" w:cs="仿宋_GB2312"/>
          <w:spacing w:val="-4"/>
          <w:lang w:val="en-US" w:eastAsia="zh-CN"/>
        </w:rPr>
        <w:t>西</w:t>
      </w:r>
      <w:r>
        <w:rPr>
          <w:rFonts w:hint="eastAsia" w:ascii="仿宋_GB2312" w:hAnsi="仿宋_GB2312" w:eastAsia="仿宋_GB2312" w:cs="仿宋_GB2312"/>
          <w:spacing w:val="-4"/>
        </w:rPr>
        <w:t>部</w:t>
      </w:r>
      <w:r>
        <w:rPr>
          <w:rFonts w:hint="eastAsia" w:ascii="仿宋_GB2312" w:hAnsi="仿宋_GB2312" w:eastAsia="仿宋_GB2312" w:cs="仿宋_GB2312"/>
          <w:spacing w:val="-4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4"/>
          <w:lang w:val="en-US" w:eastAsia="zh-CN"/>
        </w:rPr>
        <w:t>中部和北部</w:t>
      </w:r>
      <w:r>
        <w:rPr>
          <w:rFonts w:hint="eastAsia" w:ascii="仿宋_GB2312" w:hAnsi="仿宋_GB2312" w:eastAsia="仿宋_GB2312" w:cs="仿宋_GB2312"/>
          <w:spacing w:val="-4"/>
        </w:rPr>
        <w:t>地区。将生态保护红线以外集中</w:t>
      </w:r>
      <w:r>
        <w:rPr>
          <w:rFonts w:hint="eastAsia" w:ascii="仿宋_GB2312" w:hAnsi="仿宋_GB2312" w:eastAsia="仿宋_GB2312" w:cs="仿宋_GB2312"/>
          <w:spacing w:val="-5"/>
        </w:rPr>
        <w:t>连片的</w:t>
      </w:r>
      <w:r>
        <w:rPr>
          <w:rFonts w:hint="eastAsia" w:ascii="仿宋_GB2312" w:hAnsi="仿宋_GB2312" w:eastAsia="仿宋_GB2312" w:cs="仿宋_GB2312"/>
          <w:spacing w:val="-2"/>
        </w:rPr>
        <w:t>林地、河流划入一般生态空间。</w:t>
      </w:r>
    </w:p>
    <w:p w14:paraId="210A94E3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2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7"/>
        </w:rPr>
        <w:t>林地保护。落实上位规划下达的林地保有量指标和保护要求</w:t>
      </w:r>
      <w:r>
        <w:rPr>
          <w:rFonts w:hint="eastAsia" w:ascii="仿宋_GB2312" w:hAnsi="仿宋_GB2312" w:eastAsia="仿宋_GB2312" w:cs="仿宋_GB2312"/>
          <w:spacing w:val="-7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2"/>
          <w:lang w:eastAsia="zh-CN"/>
        </w:rPr>
        <w:t>同巨村</w:t>
      </w:r>
      <w:r>
        <w:rPr>
          <w:rFonts w:hint="eastAsia" w:ascii="仿宋_GB2312" w:hAnsi="仿宋_GB2312" w:eastAsia="仿宋_GB2312" w:cs="仿宋_GB2312"/>
          <w:spacing w:val="-2"/>
        </w:rPr>
        <w:t>无绿化造林图斑。</w:t>
      </w:r>
    </w:p>
    <w:p w14:paraId="6E1D468E">
      <w:pPr>
        <w:pStyle w:val="2"/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360" w:lineRule="auto"/>
        <w:ind w:right="0" w:rightChars="0" w:firstLine="58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pacing w:val="-3"/>
        </w:rPr>
        <w:t>优化建设空间</w:t>
      </w:r>
    </w:p>
    <w:p w14:paraId="3E273316">
      <w:pPr>
        <w:pStyle w:val="2"/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360" w:lineRule="auto"/>
        <w:ind w:left="0" w:right="0" w:rightChars="0" w:firstLine="564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9"/>
        </w:rPr>
        <w:t>根据《庄河市</w:t>
      </w:r>
      <w:r>
        <w:rPr>
          <w:rFonts w:hint="eastAsia" w:ascii="仿宋_GB2312" w:hAnsi="仿宋_GB2312" w:eastAsia="仿宋_GB2312" w:cs="仿宋_GB2312"/>
          <w:spacing w:val="-9"/>
          <w:lang w:eastAsia="zh-CN"/>
        </w:rPr>
        <w:t>荷花山镇</w:t>
      </w:r>
      <w:r>
        <w:rPr>
          <w:rFonts w:hint="eastAsia" w:ascii="仿宋_GB2312" w:hAnsi="仿宋_GB2312" w:eastAsia="仿宋_GB2312" w:cs="仿宋_GB2312"/>
          <w:spacing w:val="-9"/>
        </w:rPr>
        <w:t>国土空间总体规划（2021-2</w:t>
      </w:r>
      <w:r>
        <w:rPr>
          <w:rFonts w:hint="eastAsia" w:ascii="仿宋_GB2312" w:hAnsi="仿宋_GB2312" w:eastAsia="仿宋_GB2312" w:cs="仿宋_GB2312"/>
          <w:spacing w:val="-10"/>
        </w:rPr>
        <w:t>035年）》</w:t>
      </w:r>
      <w:r>
        <w:rPr>
          <w:rFonts w:hint="eastAsia" w:ascii="仿宋_GB2312" w:hAnsi="仿宋_GB2312" w:eastAsia="仿宋_GB2312" w:cs="仿宋_GB2312"/>
          <w:spacing w:val="-10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1"/>
          <w:lang w:eastAsia="zh-CN"/>
        </w:rPr>
        <w:t>同巨村</w:t>
      </w:r>
      <w:r>
        <w:rPr>
          <w:rFonts w:hint="eastAsia" w:ascii="仿宋_GB2312" w:hAnsi="仿宋_GB2312" w:eastAsia="仿宋_GB2312" w:cs="仿宋_GB2312"/>
          <w:spacing w:val="1"/>
        </w:rPr>
        <w:t>村庄建设边界约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89.42</w:t>
      </w:r>
      <w:r>
        <w:rPr>
          <w:rFonts w:hint="eastAsia" w:ascii="仿宋_GB2312" w:hAnsi="仿宋_GB2312" w:eastAsia="仿宋_GB2312" w:cs="仿宋_GB2312"/>
          <w:spacing w:val="1"/>
        </w:rPr>
        <w:t>公顷。</w:t>
      </w:r>
    </w:p>
    <w:p w14:paraId="4155C4DE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</w:pPr>
      <w:r>
        <w:rPr>
          <w:rFonts w:hint="eastAsia" w:ascii="仿宋_GB2312" w:hAnsi="仿宋_GB2312" w:eastAsia="仿宋_GB2312" w:cs="仿宋_GB2312"/>
          <w:spacing w:val="-5"/>
        </w:rPr>
        <w:t>根据上位规划指标传导及乡村地区人口变化趋势，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同巨村</w:t>
      </w:r>
      <w:r>
        <w:rPr>
          <w:rFonts w:hint="eastAsia" w:ascii="仿宋_GB2312" w:hAnsi="仿宋_GB2312" w:eastAsia="仿宋_GB2312" w:cs="仿宋_GB2312"/>
          <w:spacing w:val="-5"/>
        </w:rPr>
        <w:t>建</w:t>
      </w:r>
      <w:r>
        <w:rPr>
          <w:rFonts w:hint="eastAsia" w:ascii="仿宋_GB2312" w:hAnsi="仿宋_GB2312" w:eastAsia="仿宋_GB2312" w:cs="仿宋_GB2312"/>
          <w:spacing w:val="-4"/>
        </w:rPr>
        <w:t>设用地以存量盘活利用为主，少量新增用地</w:t>
      </w:r>
      <w:r>
        <w:rPr>
          <w:rFonts w:hint="eastAsia" w:ascii="仿宋_GB2312" w:hAnsi="仿宋_GB2312" w:eastAsia="仿宋_GB2312" w:cs="仿宋_GB2312"/>
          <w:spacing w:val="-5"/>
        </w:rPr>
        <w:t>主要</w:t>
      </w:r>
      <w:r>
        <w:rPr>
          <w:rFonts w:hint="eastAsia" w:ascii="仿宋_GB2312" w:hAnsi="仿宋_GB2312" w:eastAsia="仿宋_GB2312" w:cs="仿宋_GB2312"/>
          <w:spacing w:val="-11"/>
        </w:rPr>
        <w:t>为落实上位规划传导的一二三产融合项目，位于</w:t>
      </w: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南道屯</w:t>
      </w:r>
      <w:r>
        <w:rPr>
          <w:rFonts w:hint="eastAsia" w:ascii="仿宋_GB2312" w:hAnsi="仿宋_GB2312" w:eastAsia="仿宋_GB2312" w:cs="仿宋_GB2312"/>
          <w:spacing w:val="-4"/>
        </w:rPr>
        <w:t>，主要为新增商业服务设施、基础设施提供空间。</w:t>
      </w:r>
      <w:r>
        <w:rPr>
          <w:rFonts w:hint="eastAsia" w:ascii="仿宋_GB2312" w:hAnsi="仿宋_GB2312" w:eastAsia="仿宋_GB2312" w:cs="仿宋_GB2312"/>
          <w:spacing w:val="-5"/>
        </w:rPr>
        <w:t>同</w:t>
      </w:r>
      <w:r>
        <w:rPr>
          <w:rFonts w:hint="eastAsia" w:ascii="仿宋_GB2312" w:hAnsi="仿宋_GB2312" w:eastAsia="仿宋_GB2312" w:cs="仿宋_GB2312"/>
          <w:spacing w:val="-4"/>
        </w:rPr>
        <w:t>时对位于生态红线内的工业用地进行腾退，引导零散农村居</w:t>
      </w:r>
      <w:r>
        <w:rPr>
          <w:rFonts w:hint="eastAsia" w:ascii="仿宋_GB2312" w:hAnsi="仿宋_GB2312" w:eastAsia="仿宋_GB2312" w:cs="仿宋_GB2312"/>
          <w:spacing w:val="-5"/>
        </w:rPr>
        <w:t>民点</w:t>
      </w:r>
      <w:r>
        <w:rPr>
          <w:rFonts w:hint="eastAsia" w:ascii="仿宋_GB2312" w:hAnsi="仿宋_GB2312" w:eastAsia="仿宋_GB2312" w:cs="仿宋_GB2312"/>
          <w:spacing w:val="-7"/>
        </w:rPr>
        <w:t>集聚。</w:t>
      </w:r>
    </w:p>
    <w:p w14:paraId="4EC896F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4" w:firstLineChars="200"/>
        <w:jc w:val="both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4"/>
          <w:sz w:val="30"/>
          <w:szCs w:val="30"/>
        </w:rPr>
        <w:t>三、村域空间发展规划</w:t>
      </w:r>
    </w:p>
    <w:p w14:paraId="0FA5CC62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6"/>
        </w:rPr>
        <w:t>1.产业发展</w:t>
      </w:r>
    </w:p>
    <w:p w14:paraId="2F86A3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zh-CN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zh-CN" w:eastAsia="zh-CN"/>
        </w:rPr>
        <w:t>打造以果林和粮食种植为基础，休闲旅游为主导的生态型村庄，目标成为荷花山镇生态旅游示范村。</w:t>
      </w:r>
    </w:p>
    <w:p w14:paraId="16F76C84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rPr>
          <w:rFonts w:hint="eastAsia" w:ascii="仿宋_GB2312" w:hAnsi="仿宋_GB2312" w:eastAsia="仿宋_GB2312" w:cs="仿宋_GB2312"/>
          <w:spacing w:val="-6"/>
        </w:rPr>
      </w:pPr>
      <w:r>
        <w:rPr>
          <w:rFonts w:hint="eastAsia" w:ascii="仿宋_GB2312" w:hAnsi="仿宋_GB2312" w:eastAsia="仿宋_GB2312" w:cs="仿宋_GB2312"/>
          <w:spacing w:val="-6"/>
        </w:rPr>
        <w:t>2.人口规模</w:t>
      </w:r>
    </w:p>
    <w:p w14:paraId="6071052A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6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8"/>
        </w:rPr>
        <w:t>至规划期末2035年，常住人口约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2300</w:t>
      </w:r>
      <w:r>
        <w:rPr>
          <w:rFonts w:hint="eastAsia" w:ascii="仿宋_GB2312" w:hAnsi="仿宋_GB2312" w:eastAsia="仿宋_GB2312" w:cs="仿宋_GB2312"/>
          <w:spacing w:val="-8"/>
        </w:rPr>
        <w:t>人</w:t>
      </w:r>
      <w:r>
        <w:rPr>
          <w:rFonts w:hint="eastAsia" w:ascii="仿宋_GB2312" w:hAnsi="仿宋_GB2312" w:eastAsia="仿宋_GB2312" w:cs="仿宋_GB2312"/>
          <w:spacing w:val="-7"/>
        </w:rPr>
        <w:t>。</w:t>
      </w:r>
    </w:p>
    <w:p w14:paraId="4925BF5B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</w:rPr>
        <w:t>3.空间发展布局</w:t>
      </w:r>
    </w:p>
    <w:p w14:paraId="7BE04FF6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5"/>
        </w:rPr>
        <w:t>规划村域空间结构形成以村委会所在地为中心，以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产业发展</w:t>
      </w:r>
      <w:r>
        <w:rPr>
          <w:rFonts w:hint="eastAsia" w:ascii="仿宋_GB2312" w:hAnsi="仿宋_GB2312" w:eastAsia="仿宋_GB2312" w:cs="仿宋_GB2312"/>
          <w:spacing w:val="-1"/>
        </w:rPr>
        <w:t>为重点，依托各级公路发展，形成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“两核两轴三片区”</w:t>
      </w:r>
      <w:r>
        <w:rPr>
          <w:rFonts w:hint="eastAsia" w:ascii="仿宋_GB2312" w:hAnsi="仿宋_GB2312" w:eastAsia="仿宋_GB2312" w:cs="仿宋_GB2312"/>
          <w:spacing w:val="-9"/>
        </w:rPr>
        <w:t>的发展结构。</w:t>
      </w:r>
      <w:bookmarkStart w:id="0" w:name="_Hlk146658530"/>
    </w:p>
    <w:bookmarkEnd w:id="0"/>
    <w:p w14:paraId="62BEBE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 xml:space="preserve">两核：以村委会所在地为村域服务核心，主要道路形成的交通节点，形成村庄公共服务核心，带动同巨村产业发展；以麻沟风景旅游区的麻沟屯为第三产业发展核心。 </w:t>
      </w:r>
    </w:p>
    <w:p w14:paraId="1562AC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两轴：以国道305的路径形成村庄经济发展轴，作为未来带动村庄综合经济发展的主要载体；以同巨河的流经途径作为第三产业发展轴，作为未来带动村庄旅游经济发展的主要载体。</w:t>
      </w:r>
    </w:p>
    <w:p w14:paraId="2E963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firstLine="600" w:firstLineChars="200"/>
        <w:jc w:val="both"/>
        <w:textAlignment w:val="auto"/>
        <w:rPr>
          <w:rFonts w:hint="eastAsia" w:ascii="仿宋" w:hAnsi="仿宋" w:eastAsia="仿宋" w:cs="Times New Roman"/>
          <w:b w:val="0"/>
          <w:bCs w:val="0"/>
          <w:snapToGrid/>
          <w:kern w:val="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三片区：规划形成“生态旅游度假区、经济果林种植区、粮食作物种植区”三个发展片区。</w:t>
      </w:r>
    </w:p>
    <w:p w14:paraId="4528FF2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6"/>
          <w:sz w:val="30"/>
          <w:szCs w:val="30"/>
        </w:rPr>
        <w:t>四、人居环境整治规划</w:t>
      </w:r>
    </w:p>
    <w:p w14:paraId="6C2644C0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96" w:firstLineChars="200"/>
        <w:jc w:val="both"/>
        <w:textAlignment w:val="baseline"/>
      </w:pPr>
      <w:r>
        <w:rPr>
          <w:rFonts w:hint="eastAsia" w:ascii="仿宋_GB2312" w:hAnsi="仿宋_GB2312" w:eastAsia="仿宋_GB2312" w:cs="仿宋_GB2312"/>
          <w:spacing w:val="-1"/>
        </w:rPr>
        <w:t>人居环境整治主要对象是规划中已经集中布局的村庄居民</w:t>
      </w:r>
      <w:r>
        <w:rPr>
          <w:rFonts w:hint="eastAsia" w:ascii="仿宋_GB2312" w:hAnsi="仿宋_GB2312" w:eastAsia="仿宋_GB2312" w:cs="仿宋_GB2312"/>
          <w:spacing w:val="-3"/>
        </w:rPr>
        <w:t>点，结合农民生产生活方式，从道路环境整治、重点区域亮化、</w:t>
      </w:r>
      <w:r>
        <w:rPr>
          <w:rFonts w:hint="eastAsia" w:ascii="仿宋_GB2312" w:hAnsi="仿宋_GB2312" w:eastAsia="仿宋_GB2312" w:cs="仿宋_GB2312"/>
          <w:spacing w:val="-4"/>
        </w:rPr>
        <w:t>净化整治、绿化景观整治、边沟整治等角度对村庄人居环境</w:t>
      </w:r>
      <w:r>
        <w:rPr>
          <w:rFonts w:hint="eastAsia" w:ascii="仿宋_GB2312" w:hAnsi="仿宋_GB2312" w:eastAsia="仿宋_GB2312" w:cs="仿宋_GB2312"/>
          <w:spacing w:val="-5"/>
        </w:rPr>
        <w:t>进行</w:t>
      </w:r>
      <w:r>
        <w:rPr>
          <w:rFonts w:hint="eastAsia" w:ascii="仿宋_GB2312" w:hAnsi="仿宋_GB2312" w:eastAsia="仿宋_GB2312" w:cs="仿宋_GB2312"/>
          <w:spacing w:val="-4"/>
        </w:rPr>
        <w:t>规划设计。</w:t>
      </w:r>
    </w:p>
    <w:p w14:paraId="04144C8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5"/>
          <w:sz w:val="30"/>
          <w:szCs w:val="30"/>
        </w:rPr>
        <w:t>五、近期整治规划</w:t>
      </w:r>
    </w:p>
    <w:p w14:paraId="2DA5BCAF">
      <w:pPr>
        <w:keepNext w:val="0"/>
        <w:keepLines w:val="0"/>
        <w:pageBreakBefore w:val="0"/>
        <w:tabs>
          <w:tab w:val="left" w:pos="720"/>
        </w:tabs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96" w:firstLineChars="200"/>
        <w:jc w:val="both"/>
        <w:rPr>
          <w:rFonts w:hint="eastAsia" w:ascii="仿宋" w:hAnsi="仿宋" w:eastAsia="仿宋" w:cs="仿宋"/>
          <w:snapToGrid w:val="0"/>
          <w:color w:val="000000"/>
          <w:spacing w:val="-1"/>
          <w:kern w:val="0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-1"/>
          <w:kern w:val="0"/>
          <w:sz w:val="30"/>
          <w:szCs w:val="30"/>
          <w:lang w:val="en-US" w:eastAsia="en-US" w:bidi="ar-SA"/>
        </w:rPr>
        <w:t>针对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-1"/>
          <w:kern w:val="0"/>
          <w:sz w:val="30"/>
          <w:szCs w:val="30"/>
          <w:lang w:val="en-US" w:eastAsia="zh-CN" w:bidi="ar-SA"/>
        </w:rPr>
        <w:t>同巨村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-1"/>
          <w:kern w:val="0"/>
          <w:sz w:val="30"/>
          <w:szCs w:val="30"/>
          <w:lang w:val="en-US" w:eastAsia="en-US" w:bidi="ar-SA"/>
        </w:rPr>
        <w:t>实际建设需求、居民生产生活和生态保护面临的迫切问题，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近期重点从公共服务设施、商业服务设施、公用设施、道路工程、人居环境等方面建设项目，主要增加项目包括快递投放点、农村物流点、科技服务点、商业服务中心、消防点、新建路灯、建设入口景观。</w:t>
      </w:r>
    </w:p>
    <w:p w14:paraId="45B3D0B3">
      <w:pPr>
        <w:pStyle w:val="2"/>
        <w:spacing w:before="268" w:line="384" w:lineRule="auto"/>
        <w:ind w:left="31" w:firstLine="601"/>
        <w:jc w:val="both"/>
        <w:rPr>
          <w:rFonts w:ascii="仿宋" w:hAnsi="仿宋" w:eastAsia="仿宋" w:cs="仿宋"/>
          <w:snapToGrid w:val="0"/>
          <w:color w:val="000000"/>
          <w:spacing w:val="-1"/>
          <w:kern w:val="0"/>
          <w:sz w:val="30"/>
          <w:szCs w:val="30"/>
          <w:lang w:val="en-US" w:eastAsia="en-US" w:bidi="ar-SA"/>
        </w:rPr>
        <w:sectPr>
          <w:footerReference r:id="rId5" w:type="default"/>
          <w:pgSz w:w="11906" w:h="16839"/>
          <w:pgMar w:top="1431" w:right="1703" w:bottom="1151" w:left="1785" w:header="0" w:footer="987" w:gutter="0"/>
          <w:pgNumType w:fmt="numberInDash"/>
          <w:cols w:space="720" w:num="1"/>
        </w:sectPr>
      </w:pPr>
    </w:p>
    <w:p w14:paraId="75ABFB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68" w:firstLineChars="200"/>
        <w:jc w:val="both"/>
        <w:textAlignment w:val="baseline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8"/>
          <w:sz w:val="30"/>
          <w:szCs w:val="30"/>
        </w:rPr>
        <w:t>六、附图</w:t>
      </w:r>
    </w:p>
    <w:p w14:paraId="7D8BD0B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600" w:firstLineChars="200"/>
        <w:jc w:val="both"/>
        <w:textAlignment w:val="baseline"/>
        <w:outlineLvl w:val="1"/>
      </w:pP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488315</wp:posOffset>
            </wp:positionV>
            <wp:extent cx="5278120" cy="3733800"/>
            <wp:effectExtent l="0" t="0" r="17780" b="0"/>
            <wp:wrapSquare wrapText="bothSides"/>
            <wp:docPr id="3" name="图片 3" descr="F:/研/RD/庄河村庄/公示展板/荷花山镇同巨村/yong/同巨村说明书+图集_38.png同巨村说明书+图集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研/RD/庄河村庄/公示展板/荷花山镇同巨村/yong/同巨村说明书+图集_38.png同巨村说明书+图集_38"/>
                    <pic:cNvPicPr>
                      <a:picLocks noChangeAspect="1"/>
                    </pic:cNvPicPr>
                  </pic:nvPicPr>
                  <pic:blipFill>
                    <a:blip r:embed="rId13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7"/>
        </w:rPr>
        <w:t>1.区位图</w:t>
      </w:r>
    </w:p>
    <w:p w14:paraId="2E8FAED8">
      <w:pPr>
        <w:spacing w:line="11731" w:lineRule="exact"/>
        <w:jc w:val="both"/>
        <w:rPr>
          <w:rFonts w:hint="eastAsia" w:eastAsia="宋体"/>
          <w:lang w:eastAsia="zh-CN"/>
        </w:rPr>
        <w:sectPr>
          <w:footerReference r:id="rId6" w:type="default"/>
          <w:pgSz w:w="11906" w:h="16839"/>
          <w:pgMar w:top="1431" w:right="1785" w:bottom="1150" w:left="1785" w:header="0" w:footer="987" w:gutter="0"/>
          <w:pgNumType w:fmt="numberInDash"/>
          <w:cols w:space="720" w:num="1"/>
        </w:sectPr>
      </w:pPr>
    </w:p>
    <w:p w14:paraId="5FFEE14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92" w:firstLineChars="200"/>
        <w:jc w:val="both"/>
        <w:textAlignment w:val="baseline"/>
        <w:outlineLvl w:val="1"/>
        <w:rPr>
          <w:spacing w:val="-2"/>
        </w:rPr>
      </w:pPr>
      <w:r>
        <w:rPr>
          <w:rFonts w:hint="eastAsia" w:ascii="仿宋_GB2312" w:hAnsi="仿宋_GB2312" w:eastAsia="仿宋_GB2312" w:cs="仿宋_GB2312"/>
          <w:spacing w:val="-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pacing w:val="-2"/>
        </w:rPr>
        <w:t>各类控制线管控图</w:t>
      </w:r>
    </w:p>
    <w:p w14:paraId="4D9A9C0C">
      <w:pPr>
        <w:pStyle w:val="2"/>
        <w:numPr>
          <w:ilvl w:val="0"/>
          <w:numId w:val="0"/>
        </w:numPr>
        <w:spacing w:before="171" w:line="222" w:lineRule="auto"/>
        <w:jc w:val="both"/>
        <w:outlineLvl w:val="1"/>
        <w:rPr>
          <w:rFonts w:hint="eastAsia" w:eastAsia="宋体"/>
          <w:lang w:eastAsia="zh-CN"/>
        </w:rPr>
        <w:sectPr>
          <w:footerReference r:id="rId7" w:type="default"/>
          <w:pgSz w:w="11906" w:h="16839"/>
          <w:pgMar w:top="1431" w:right="1785" w:bottom="1152" w:left="1785" w:header="0" w:footer="987" w:gutter="0"/>
          <w:pgNumType w:fmt="numberInDash"/>
          <w:cols w:space="720" w:num="1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8120" cy="3733800"/>
            <wp:effectExtent l="0" t="0" r="17780" b="0"/>
            <wp:docPr id="2" name="图片 2" descr="F:/研/RD/庄河村庄/公示展板/荷花山镇同巨村/yong/（改）财主房村说明书+图集_39.jpg（改）财主房村说明书+图集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研/RD/庄河村庄/公示展板/荷花山镇同巨村/yong/（改）财主房村说明书+图集_39.jpg（改）财主房村说明书+图集_39"/>
                    <pic:cNvPicPr>
                      <a:picLocks noChangeAspect="1"/>
                    </pic:cNvPicPr>
                  </pic:nvPicPr>
                  <pic:blipFill>
                    <a:blip r:embed="rId14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6F2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600" w:firstLineChars="200"/>
        <w:jc w:val="both"/>
        <w:textAlignment w:val="baseline"/>
        <w:outlineLvl w:val="1"/>
      </w:pP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435610</wp:posOffset>
            </wp:positionV>
            <wp:extent cx="5278120" cy="3733800"/>
            <wp:effectExtent l="0" t="0" r="17780" b="0"/>
            <wp:wrapSquare wrapText="bothSides"/>
            <wp:docPr id="5" name="图片 5" descr="F:/研/RD/庄河村庄/公示展板/荷花山镇同巨村/yong/同巨村说明书+图集_42.png同巨村说明书+图集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研/RD/庄河村庄/公示展板/荷花山镇同巨村/yong/同巨村说明书+图集_42.png同巨村说明书+图集_42"/>
                    <pic:cNvPicPr>
                      <a:picLocks noChangeAspect="1"/>
                    </pic:cNvPicPr>
                  </pic:nvPicPr>
                  <pic:blipFill>
                    <a:blip r:embed="rId15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</w:rPr>
        <w:t>3.村域空间结构规划图</w:t>
      </w:r>
    </w:p>
    <w:p w14:paraId="3104BC37">
      <w:pPr>
        <w:spacing w:line="11731" w:lineRule="exact"/>
        <w:jc w:val="both"/>
        <w:rPr>
          <w:rFonts w:hint="eastAsia" w:eastAsia="宋体"/>
          <w:lang w:eastAsia="zh-CN"/>
        </w:rPr>
        <w:sectPr>
          <w:footerReference r:id="rId8" w:type="default"/>
          <w:pgSz w:w="11906" w:h="16839"/>
          <w:pgMar w:top="1431" w:right="1785" w:bottom="1150" w:left="1785" w:header="0" w:footer="987" w:gutter="0"/>
          <w:pgNumType w:fmt="numberInDash"/>
          <w:cols w:space="720" w:num="1"/>
        </w:sectPr>
      </w:pPr>
    </w:p>
    <w:p w14:paraId="7789AF7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96" w:firstLineChars="200"/>
        <w:jc w:val="both"/>
        <w:textAlignment w:val="baseline"/>
        <w:outlineLvl w:val="1"/>
        <w:sectPr>
          <w:footerReference r:id="rId9" w:type="default"/>
          <w:pgSz w:w="11906" w:h="16839"/>
          <w:pgMar w:top="1431" w:right="1785" w:bottom="1152" w:left="1785" w:header="0" w:footer="987" w:gutter="0"/>
          <w:pgNumType w:fmt="numberInDash"/>
          <w:cols w:space="720" w:num="1"/>
        </w:sectPr>
      </w:pPr>
      <w:r>
        <w:rPr>
          <w:rFonts w:hint="eastAsia" w:ascii="仿宋_GB2312" w:hAnsi="仿宋_GB2312" w:eastAsia="仿宋_GB2312" w:cs="仿宋_GB2312"/>
          <w:spacing w:val="-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379095</wp:posOffset>
            </wp:positionV>
            <wp:extent cx="5278120" cy="3733800"/>
            <wp:effectExtent l="0" t="0" r="17780" b="0"/>
            <wp:wrapSquare wrapText="bothSides"/>
            <wp:docPr id="6" name="图片 6" descr="F:/研/RD/庄河村庄/公示展板/荷花山镇同巨村/yong/同巨村说明书+图集_43.png同巨村说明书+图集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/研/RD/庄河村庄/公示展板/荷花山镇同巨村/yong/同巨村说明书+图集_43.png同巨村说明书+图集_43"/>
                    <pic:cNvPicPr>
                      <a:picLocks noChangeAspect="1"/>
                    </pic:cNvPicPr>
                  </pic:nvPicPr>
                  <pic:blipFill>
                    <a:blip r:embed="rId16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1"/>
        </w:rPr>
        <w:t>4.村域国土空间规划图</w:t>
      </w:r>
    </w:p>
    <w:p w14:paraId="295DE63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92" w:firstLineChars="200"/>
        <w:jc w:val="both"/>
        <w:textAlignment w:val="baseline"/>
        <w:outlineLvl w:val="1"/>
      </w:pPr>
      <w:r>
        <w:rPr>
          <w:rFonts w:hint="eastAsia" w:ascii="仿宋_GB2312" w:hAnsi="仿宋_GB2312" w:eastAsia="仿宋_GB2312" w:cs="仿宋_GB2312"/>
          <w:spacing w:val="-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506095</wp:posOffset>
            </wp:positionV>
            <wp:extent cx="5278120" cy="3733800"/>
            <wp:effectExtent l="0" t="0" r="17780" b="0"/>
            <wp:wrapSquare wrapText="bothSides"/>
            <wp:docPr id="7" name="图片 7" descr="F:/研/RD/庄河村庄/公示展板/荷花山镇同巨村/yong/同巨村说明书+图集_47.png同巨村说明书+图集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/研/RD/庄河村庄/公示展板/荷花山镇同巨村/yong/同巨村说明书+图集_47.png同巨村说明书+图集_47"/>
                    <pic:cNvPicPr>
                      <a:picLocks noChangeAspect="1"/>
                    </pic:cNvPicPr>
                  </pic:nvPicPr>
                  <pic:blipFill>
                    <a:blip r:embed="rId17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</w:rPr>
        <w:t>5.产业空间发展引导图</w:t>
      </w:r>
    </w:p>
    <w:p w14:paraId="742085B4">
      <w:pPr>
        <w:spacing w:line="11731" w:lineRule="exact"/>
        <w:jc w:val="both"/>
        <w:sectPr>
          <w:footerReference r:id="rId10" w:type="default"/>
          <w:pgSz w:w="11906" w:h="16839"/>
          <w:pgMar w:top="1431" w:right="1785" w:bottom="1152" w:left="1785" w:header="0" w:footer="987" w:gutter="0"/>
          <w:pgNumType w:fmt="numberInDash"/>
          <w:cols w:space="720" w:num="1"/>
        </w:sectPr>
      </w:pPr>
    </w:p>
    <w:p w14:paraId="24CF312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600" w:firstLineChars="200"/>
        <w:jc w:val="both"/>
        <w:textAlignment w:val="baseline"/>
        <w:outlineLvl w:val="1"/>
        <w:rPr>
          <w:rFonts w:hint="eastAsia" w:eastAsia="仿宋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491490</wp:posOffset>
            </wp:positionV>
            <wp:extent cx="5535295" cy="3915410"/>
            <wp:effectExtent l="0" t="0" r="8255" b="8890"/>
            <wp:wrapSquare wrapText="bothSides"/>
            <wp:docPr id="8" name="图片 8" descr="F:/研/RD/庄河村庄/公示展板/荷花山镇同巨村/yong/同巨村说明书+图集_56.png同巨村说明书+图集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研/RD/庄河村庄/公示展板/荷花山镇同巨村/yong/同巨村说明书+图集_56.png同巨村说明书+图集_56"/>
                    <pic:cNvPicPr>
                      <a:picLocks noChangeAspect="1"/>
                    </pic:cNvPicPr>
                  </pic:nvPicPr>
                  <pic:blipFill>
                    <a:blip r:embed="rId18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</w:rPr>
        <w:t>6.村民版规划图</w:t>
      </w:r>
    </w:p>
    <w:p w14:paraId="1A7917D6">
      <w:pPr>
        <w:spacing w:before="172" w:line="222" w:lineRule="auto"/>
        <w:ind w:left="35"/>
        <w:jc w:val="both"/>
        <w:outlineLvl w:val="0"/>
      </w:pPr>
    </w:p>
    <w:sectPr>
      <w:footerReference r:id="rId11" w:type="default"/>
      <w:pgSz w:w="11906" w:h="16839"/>
      <w:pgMar w:top="1431" w:right="1389" w:bottom="1152" w:left="1785" w:header="0" w:footer="987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14FE4E"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A4228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A4228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E4E2F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DA221D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DA221D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A839E9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9D03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- 6 -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29D03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- 6 -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F03AE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AF10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- 7 -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D7AF10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- 7 -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8A1D8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4ACD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- 8 -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A4ACD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- 8 -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878C7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72336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- 9 -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72336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- 9 -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632C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4DB9F5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- 10 -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4DB9F5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- 10 -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24824CB"/>
    <w:rsid w:val="03B23D34"/>
    <w:rsid w:val="046105BC"/>
    <w:rsid w:val="0B775FC2"/>
    <w:rsid w:val="0F0425B4"/>
    <w:rsid w:val="1B940306"/>
    <w:rsid w:val="1CFC7AAA"/>
    <w:rsid w:val="1D5B3404"/>
    <w:rsid w:val="241323B6"/>
    <w:rsid w:val="24AC4775"/>
    <w:rsid w:val="2B973E91"/>
    <w:rsid w:val="341D3FD3"/>
    <w:rsid w:val="3D593B09"/>
    <w:rsid w:val="3F3042F0"/>
    <w:rsid w:val="43C42299"/>
    <w:rsid w:val="46045460"/>
    <w:rsid w:val="76951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jpe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1612</Words>
  <Characters>1732</Characters>
  <TotalTime>15</TotalTime>
  <ScaleCrop>false</ScaleCrop>
  <LinksUpToDate>false</LinksUpToDate>
  <CharactersWithSpaces>1733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2025-07-02T09:30:00Z</dcterms:created>
  <dc:creator>于承洋</dc:creator>
  <cp:lastModifiedBy>盖胜家</cp:lastModifiedBy>
  <dcterms:modified xsi:type="dcterms:W3CDTF">2025-07-30T00:41:07Z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2025-07-25T12:19:41Z</vt:filetime>
  </property>
  <property fmtid="{D5CDD505-2E9C-101B-9397-08002B2CF9AE}" pid="4" name="KSOTemplateDocerSaveRecord">
    <vt:lpwstr>eyJoZGlkIjoiNGFhYThlYzA5M2FjODYwYWFhMDQwNWE3MzA4NDYxN2MiLCJ1c2VySWQiOiI0OTA3NDg3MjMifQ==</vt:lpwstr>
  </property>
  <property fmtid="{D5CDD505-2E9C-101B-9397-08002B2CF9AE}" pid="5" name="KSOProductBuildVer">
    <vt:lpwstr>2052-12.1.0.21915</vt:lpwstr>
  </property>
  <property fmtid="{D5CDD505-2E9C-101B-9397-08002B2CF9AE}" pid="6" name="ICV">
    <vt:lpwstr>FFFE3BCB86DC4E809CE91791E439E57B_13</vt:lpwstr>
  </property>
</Properties>
</file>