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50" w:rsidRDefault="000C3650">
      <w:pPr>
        <w:spacing w:line="360" w:lineRule="auto"/>
        <w:jc w:val="left"/>
        <w:rPr>
          <w:rFonts w:ascii="黑体" w:eastAsia="黑体"/>
          <w:sz w:val="44"/>
          <w:szCs w:val="44"/>
        </w:rPr>
      </w:pPr>
    </w:p>
    <w:p w:rsidR="000C3650" w:rsidRDefault="000C3650">
      <w:pPr>
        <w:spacing w:line="360" w:lineRule="auto"/>
        <w:jc w:val="center"/>
        <w:rPr>
          <w:rFonts w:ascii="黑体" w:eastAsia="黑体"/>
          <w:sz w:val="30"/>
          <w:szCs w:val="30"/>
        </w:rPr>
      </w:pPr>
    </w:p>
    <w:p w:rsidR="000C3650" w:rsidRDefault="000C3650">
      <w:pPr>
        <w:spacing w:line="360" w:lineRule="auto"/>
        <w:jc w:val="center"/>
        <w:rPr>
          <w:rFonts w:ascii="黑体" w:eastAsia="黑体"/>
          <w:sz w:val="30"/>
          <w:szCs w:val="30"/>
        </w:rPr>
      </w:pPr>
    </w:p>
    <w:p w:rsidR="000C3650" w:rsidRDefault="000C3650">
      <w:pPr>
        <w:spacing w:line="360" w:lineRule="auto"/>
        <w:jc w:val="center"/>
        <w:rPr>
          <w:rFonts w:ascii="黑体" w:eastAsia="黑体"/>
          <w:sz w:val="30"/>
          <w:szCs w:val="30"/>
        </w:rPr>
      </w:pPr>
    </w:p>
    <w:p w:rsidR="000C3650" w:rsidRDefault="000C3650">
      <w:pPr>
        <w:spacing w:line="360" w:lineRule="auto"/>
        <w:rPr>
          <w:rFonts w:ascii="方正小标宋简体" w:eastAsia="方正小标宋简体"/>
          <w:sz w:val="30"/>
          <w:szCs w:val="30"/>
        </w:rPr>
      </w:pPr>
    </w:p>
    <w:p w:rsidR="000C3650" w:rsidRDefault="00350081">
      <w:pPr>
        <w:spacing w:line="360" w:lineRule="auto"/>
        <w:jc w:val="center"/>
        <w:rPr>
          <w:rFonts w:ascii="宋体" w:hAnsi="宋体"/>
          <w:b/>
          <w:sz w:val="72"/>
          <w:szCs w:val="72"/>
        </w:rPr>
      </w:pPr>
      <w:r>
        <w:rPr>
          <w:rFonts w:ascii="宋体" w:hAnsi="宋体" w:hint="eastAsia"/>
          <w:b/>
          <w:sz w:val="72"/>
          <w:szCs w:val="72"/>
        </w:rPr>
        <w:t>庄河市营商环境建设局</w:t>
      </w:r>
    </w:p>
    <w:p w:rsidR="000C3650" w:rsidRDefault="000C3650">
      <w:pPr>
        <w:spacing w:line="360" w:lineRule="auto"/>
        <w:jc w:val="center"/>
        <w:rPr>
          <w:rFonts w:ascii="宋体" w:hAnsi="宋体"/>
          <w:b/>
          <w:sz w:val="28"/>
          <w:szCs w:val="28"/>
        </w:rPr>
      </w:pPr>
    </w:p>
    <w:p w:rsidR="000C3650" w:rsidRDefault="00350081">
      <w:pPr>
        <w:spacing w:line="360" w:lineRule="auto"/>
        <w:jc w:val="center"/>
        <w:outlineLvl w:val="0"/>
        <w:rPr>
          <w:rFonts w:ascii="宋体" w:hAnsi="宋体"/>
          <w:b/>
          <w:sz w:val="72"/>
          <w:szCs w:val="72"/>
        </w:rPr>
      </w:pPr>
      <w:r>
        <w:rPr>
          <w:rFonts w:ascii="宋体" w:hAnsi="宋体" w:hint="eastAsia"/>
          <w:b/>
          <w:sz w:val="72"/>
          <w:szCs w:val="72"/>
        </w:rPr>
        <w:t>2021年度部门决算</w:t>
      </w:r>
    </w:p>
    <w:p w:rsidR="000C3650" w:rsidRDefault="00B938AF">
      <w:pPr>
        <w:spacing w:line="360" w:lineRule="auto"/>
        <w:jc w:val="center"/>
        <w:rPr>
          <w:rFonts w:ascii="方正小标宋简体" w:eastAsia="方正小标宋简体"/>
          <w:sz w:val="84"/>
          <w:szCs w:val="84"/>
        </w:rPr>
      </w:pPr>
      <w:r>
        <w:rPr>
          <w:rFonts w:ascii="方正小标宋简体" w:eastAsia="方正小标宋简体"/>
          <w:noProof/>
          <w:sz w:val="84"/>
          <w:szCs w:val="84"/>
        </w:rPr>
        <w:drawing>
          <wp:inline distT="0" distB="0" distL="0" distR="0">
            <wp:extent cx="1610360" cy="1624330"/>
            <wp:effectExtent l="19050" t="0" r="8890" b="0"/>
            <wp:docPr id="1" name="图片 9" descr="1602833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1602833548(1)"/>
                    <pic:cNvPicPr>
                      <a:picLocks noChangeAspect="1" noChangeArrowheads="1"/>
                    </pic:cNvPicPr>
                  </pic:nvPicPr>
                  <pic:blipFill>
                    <a:blip r:embed="rId7" cstate="print"/>
                    <a:srcRect/>
                    <a:stretch>
                      <a:fillRect/>
                    </a:stretch>
                  </pic:blipFill>
                  <pic:spPr bwMode="auto">
                    <a:xfrm>
                      <a:off x="0" y="0"/>
                      <a:ext cx="1610360" cy="1624330"/>
                    </a:xfrm>
                    <a:prstGeom prst="rect">
                      <a:avLst/>
                    </a:prstGeom>
                    <a:noFill/>
                    <a:ln w="9525">
                      <a:noFill/>
                      <a:miter lim="800000"/>
                      <a:headEnd/>
                      <a:tailEnd/>
                    </a:ln>
                  </pic:spPr>
                </pic:pic>
              </a:graphicData>
            </a:graphic>
          </wp:inline>
        </w:drawing>
      </w:r>
    </w:p>
    <w:p w:rsidR="000C3650" w:rsidRDefault="00350081">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宋体" w:hAnsi="宋体" w:cs="宋体" w:hint="eastAsia"/>
          <w:b/>
          <w:sz w:val="36"/>
          <w:szCs w:val="36"/>
        </w:rPr>
        <w:lastRenderedPageBreak/>
        <w:t>目  录</w:t>
      </w:r>
    </w:p>
    <w:p w:rsidR="000C3650" w:rsidRDefault="000C3650">
      <w:pPr>
        <w:spacing w:line="360" w:lineRule="auto"/>
        <w:jc w:val="center"/>
        <w:rPr>
          <w:rFonts w:ascii="华文中宋" w:eastAsia="华文中宋" w:hAnsi="华文中宋"/>
          <w:b/>
          <w:sz w:val="36"/>
        </w:rPr>
      </w:pPr>
    </w:p>
    <w:p w:rsidR="000C3650" w:rsidRDefault="00350081">
      <w:pPr>
        <w:spacing w:line="360" w:lineRule="auto"/>
        <w:rPr>
          <w:rFonts w:ascii="黑体" w:eastAsia="黑体"/>
          <w:sz w:val="32"/>
          <w:szCs w:val="32"/>
        </w:rPr>
      </w:pPr>
      <w:r>
        <w:rPr>
          <w:rFonts w:ascii="黑体" w:eastAsia="黑体" w:hint="eastAsia"/>
          <w:sz w:val="32"/>
          <w:szCs w:val="32"/>
        </w:rPr>
        <w:t>第一部分 庄河市营商环境建设局概况</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一、主要职能</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二、部门决算单位构成</w:t>
      </w:r>
    </w:p>
    <w:p w:rsidR="000C3650" w:rsidRDefault="00350081">
      <w:pPr>
        <w:spacing w:line="360" w:lineRule="auto"/>
        <w:rPr>
          <w:rFonts w:ascii="黑体" w:eastAsia="黑体"/>
          <w:sz w:val="32"/>
          <w:szCs w:val="32"/>
        </w:rPr>
      </w:pPr>
      <w:r>
        <w:rPr>
          <w:rFonts w:ascii="黑体" w:eastAsia="黑体" w:hint="eastAsia"/>
          <w:sz w:val="32"/>
          <w:szCs w:val="32"/>
        </w:rPr>
        <w:t>第二部分 庄河市营商环境建设局2021年度部门决算情况说明</w:t>
      </w:r>
    </w:p>
    <w:p w:rsidR="000C3650" w:rsidRDefault="00350081">
      <w:pPr>
        <w:spacing w:line="360" w:lineRule="auto"/>
        <w:rPr>
          <w:rFonts w:ascii="黑体" w:eastAsia="黑体"/>
          <w:sz w:val="32"/>
          <w:szCs w:val="32"/>
        </w:rPr>
      </w:pPr>
      <w:r>
        <w:rPr>
          <w:rFonts w:ascii="黑体" w:eastAsia="黑体" w:hint="eastAsia"/>
          <w:sz w:val="32"/>
          <w:szCs w:val="32"/>
        </w:rPr>
        <w:t>第三部分 名词解释</w:t>
      </w:r>
    </w:p>
    <w:p w:rsidR="000C3650" w:rsidRDefault="00350081">
      <w:pPr>
        <w:spacing w:line="360" w:lineRule="auto"/>
        <w:rPr>
          <w:rFonts w:ascii="黑体" w:eastAsia="黑体"/>
          <w:sz w:val="32"/>
          <w:szCs w:val="32"/>
        </w:rPr>
      </w:pPr>
      <w:r>
        <w:rPr>
          <w:rFonts w:ascii="黑体" w:eastAsia="黑体" w:hint="eastAsia"/>
          <w:sz w:val="32"/>
          <w:szCs w:val="32"/>
        </w:rPr>
        <w:t>第四部分 庄河市营商环境建设局2021年度部门决算报表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一、收入支出决算总表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二、收入决算表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三、支出决算表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四、财政拨款收入支出决算总表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五、一般公共预算财政拨款支出决算表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六、一般公共预算财政拨款基本支出决算表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七、一般公共预算财政拨款“三公”经费支出决算表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八、政府性基金预算财政拨款收入支出决算表</w:t>
      </w:r>
    </w:p>
    <w:p w:rsidR="000C3650" w:rsidRDefault="00350081">
      <w:pPr>
        <w:jc w:val="left"/>
        <w:rPr>
          <w:rFonts w:ascii="仿宋_GB2312" w:eastAsia="仿宋_GB2312" w:hAnsi="宋体"/>
          <w:sz w:val="32"/>
          <w:szCs w:val="32"/>
        </w:rPr>
      </w:pPr>
      <w:r>
        <w:rPr>
          <w:rFonts w:ascii="仿宋_GB2312" w:eastAsia="仿宋_GB2312" w:hAnsi="宋体" w:hint="eastAsia"/>
          <w:sz w:val="32"/>
          <w:szCs w:val="32"/>
        </w:rPr>
        <w:t>九、国有资本经营预算财政拨款支出决算表</w:t>
      </w:r>
    </w:p>
    <w:p w:rsidR="000C3650" w:rsidRDefault="000C3650">
      <w:pPr>
        <w:spacing w:line="360" w:lineRule="auto"/>
        <w:rPr>
          <w:rFonts w:ascii="黑体" w:eastAsia="黑体"/>
          <w:sz w:val="30"/>
          <w:szCs w:val="30"/>
        </w:rPr>
        <w:sectPr w:rsidR="000C3650">
          <w:headerReference w:type="default" r:id="rId8"/>
          <w:footerReference w:type="default" r:id="rId9"/>
          <w:pgSz w:w="11906" w:h="16838"/>
          <w:pgMar w:top="1418" w:right="1797" w:bottom="1418" w:left="1797" w:header="851" w:footer="992" w:gutter="0"/>
          <w:pgNumType w:fmt="numberInDash" w:start="0"/>
          <w:cols w:space="720"/>
          <w:titlePg/>
          <w:docGrid w:type="lines" w:linePitch="312"/>
        </w:sectPr>
      </w:pPr>
    </w:p>
    <w:p w:rsidR="000C3650" w:rsidRDefault="00350081">
      <w:pPr>
        <w:jc w:val="center"/>
        <w:rPr>
          <w:rFonts w:ascii="宋体" w:hAnsi="宋体" w:cs="宋体"/>
          <w:b/>
          <w:sz w:val="36"/>
          <w:szCs w:val="36"/>
        </w:rPr>
      </w:pPr>
      <w:r>
        <w:rPr>
          <w:rFonts w:ascii="宋体" w:hAnsi="宋体" w:cs="宋体" w:hint="eastAsia"/>
          <w:b/>
          <w:bCs/>
          <w:sz w:val="36"/>
          <w:szCs w:val="36"/>
        </w:rPr>
        <w:lastRenderedPageBreak/>
        <w:t>第一部分    庄河市营商环境建设局概况</w:t>
      </w:r>
    </w:p>
    <w:p w:rsidR="000C3650" w:rsidRDefault="000C3650">
      <w:pPr>
        <w:jc w:val="center"/>
        <w:rPr>
          <w:rFonts w:ascii="黑体" w:eastAsia="黑体"/>
          <w:sz w:val="32"/>
          <w:szCs w:val="32"/>
        </w:rPr>
      </w:pP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一、主要职能</w:t>
      </w:r>
    </w:p>
    <w:p w:rsidR="000C3650" w:rsidRDefault="00350081">
      <w:pPr>
        <w:spacing w:line="440" w:lineRule="exact"/>
        <w:ind w:firstLineChars="200" w:firstLine="600"/>
        <w:rPr>
          <w:rFonts w:ascii="仿宋" w:eastAsia="仿宋" w:hAnsi="仿宋" w:cs="宋体"/>
          <w:sz w:val="30"/>
          <w:szCs w:val="30"/>
        </w:rPr>
      </w:pPr>
      <w:r>
        <w:rPr>
          <w:rFonts w:ascii="仿宋" w:eastAsia="仿宋" w:hAnsi="仿宋" w:cs="宋体" w:hint="eastAsia"/>
          <w:sz w:val="30"/>
          <w:szCs w:val="30"/>
        </w:rPr>
        <w:t>第一条根据《中共辽宁省委办公厅辽宁省人民政府办公厅关于印发大连市县（市、区）机构改革方案的通知》(</w:t>
      </w:r>
      <w:proofErr w:type="gramStart"/>
      <w:r>
        <w:rPr>
          <w:rFonts w:ascii="仿宋" w:eastAsia="仿宋" w:hAnsi="仿宋" w:cs="宋体" w:hint="eastAsia"/>
          <w:sz w:val="30"/>
          <w:szCs w:val="30"/>
        </w:rPr>
        <w:t>厅秘发</w:t>
      </w:r>
      <w:proofErr w:type="gramEnd"/>
      <w:r>
        <w:rPr>
          <w:rFonts w:ascii="仿宋" w:eastAsia="仿宋" w:hAnsi="仿宋" w:cs="宋体" w:hint="eastAsia"/>
          <w:sz w:val="30"/>
          <w:szCs w:val="30"/>
        </w:rPr>
        <w:t>(2019)248号），制定本规定。</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第二条庄河市营商环境建设局是市政府工作部门，为正科级，加挂庄河市行政</w:t>
      </w:r>
      <w:proofErr w:type="gramStart"/>
      <w:r>
        <w:rPr>
          <w:rFonts w:ascii="仿宋" w:eastAsia="仿宋" w:hAnsi="仿宋" w:cs="宋体" w:hint="eastAsia"/>
          <w:sz w:val="30"/>
          <w:szCs w:val="30"/>
        </w:rPr>
        <w:t>审批局牌子</w:t>
      </w:r>
      <w:proofErr w:type="gramEnd"/>
      <w:r>
        <w:rPr>
          <w:rFonts w:ascii="仿宋" w:eastAsia="仿宋" w:hAnsi="仿宋" w:cs="宋体" w:hint="eastAsia"/>
          <w:sz w:val="30"/>
          <w:szCs w:val="30"/>
        </w:rPr>
        <w:t>。</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第三条庄河市营商环境建设局贯彻落实党中央、省委、大连市委及市委关于营商环境建设工作的方针政策和决策部署，在履行职责过程中坚持和加强党对营商环境建设工作的集中统一领导。主要职责是：</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（一）贯彻落实党中央、国务院，省委、省政府和大连市委、大连市政府关于加强和优化营商环境建设的法律法规和方针政策及市委、市政府部署要求，组织贯彻落实《辽宁省优化营商环境条例》。</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（二）拟订全市营商环境建设工作规划和年度计划，拟订加强和优化全市营商环境建设的政策、措施和制度并组织实施，组织指导、统筹协调各乡镇（街道）、各部门、各单位营商环境建设工作。</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（三）负责全市营商环境建设监督检查工作，受理督办营商环境相关投诉、举报，协助和配合有关部门查处营商环境建设违法违纪行为。</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（四）配合有关部门对全市贯彻落实省、大连市和我市关于优化营商环境建设工作部署情况进行绩效考评。</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（五）负责推进全市简政放权放管结合优化服务改革及行政审批制度改革工作，指导各乡镇（街道）简政放权放管结合优化服务改革及行政审批制度改革工作。负责对</w:t>
      </w:r>
      <w:proofErr w:type="gramStart"/>
      <w:r>
        <w:rPr>
          <w:rFonts w:ascii="仿宋" w:eastAsia="仿宋" w:hAnsi="仿宋" w:cs="宋体" w:hint="eastAsia"/>
          <w:sz w:val="30"/>
          <w:szCs w:val="30"/>
        </w:rPr>
        <w:t>进驻市</w:t>
      </w:r>
      <w:proofErr w:type="gramEnd"/>
      <w:r>
        <w:rPr>
          <w:rFonts w:ascii="仿宋" w:eastAsia="仿宋" w:hAnsi="仿宋" w:cs="宋体" w:hint="eastAsia"/>
          <w:sz w:val="30"/>
          <w:szCs w:val="30"/>
        </w:rPr>
        <w:t>政务服务大厅审批服务事项的组织协调、监督管理和指导服务。根据市委、市政府相关决策意见，负责协调北黄海经济区管委会有关审批事宜。</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lastRenderedPageBreak/>
        <w:t xml:space="preserve">    （六）负责行政权力运行制度系统、行政权力电子监察系统建设等工作，指导、协调、监督、考核全市各级营商环境建设机构建设和行政审批工作。按照分工做好“互联网+政务”建设推进工作，负责督察督办8890非紧急类服务平台等渠道反映的问题。</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（七）承担市软环境建设领导小组、市推进职能转变协调小组、市行政审批制度改革领导小组的日常工作，承担市营商环境建设监督办公室的日常工作。</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（八）承担建设工程交易市场的监督管理责任，负责房屋建筑和市政基础设施工程招标投标工作的管理，负责招标代理机构的监督管理工作。</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（九）对市机关事务服务中心承担的8890非紧急类服务平台相关工作进行业务指导。</w:t>
      </w:r>
    </w:p>
    <w:p w:rsidR="000C3650" w:rsidRDefault="00350081">
      <w:pPr>
        <w:spacing w:line="440" w:lineRule="exact"/>
        <w:rPr>
          <w:rFonts w:ascii="仿宋" w:eastAsia="仿宋" w:hAnsi="仿宋" w:cs="宋体"/>
          <w:sz w:val="30"/>
          <w:szCs w:val="30"/>
        </w:rPr>
      </w:pPr>
      <w:r>
        <w:rPr>
          <w:rFonts w:ascii="仿宋" w:eastAsia="仿宋" w:hAnsi="仿宋" w:cs="宋体" w:hint="eastAsia"/>
          <w:sz w:val="30"/>
          <w:szCs w:val="30"/>
        </w:rPr>
        <w:t xml:space="preserve">    （十）对市经济发展服务中心承担的公共资源交易有关工作进行业务指导。</w:t>
      </w:r>
    </w:p>
    <w:p w:rsidR="000C3650" w:rsidRDefault="00350081">
      <w:pPr>
        <w:ind w:firstLineChars="200" w:firstLine="600"/>
        <w:rPr>
          <w:rFonts w:ascii="仿宋_GB2312" w:eastAsia="仿宋_GB2312"/>
          <w:sz w:val="32"/>
          <w:szCs w:val="32"/>
        </w:rPr>
      </w:pPr>
      <w:r>
        <w:rPr>
          <w:rFonts w:ascii="仿宋" w:eastAsia="仿宋" w:hAnsi="仿宋" w:cs="宋体" w:hint="eastAsia"/>
          <w:sz w:val="30"/>
          <w:szCs w:val="30"/>
        </w:rPr>
        <w:t>（十一）完成市委、市政府交办的其他任务。</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二、部门决算单位构成</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从预算单位构成看，</w:t>
      </w:r>
      <w:r>
        <w:rPr>
          <w:rFonts w:ascii="仿宋_GB2312" w:eastAsia="仿宋_GB2312" w:hAnsi="宋体" w:hint="eastAsia"/>
          <w:sz w:val="32"/>
          <w:szCs w:val="32"/>
        </w:rPr>
        <w:t>庄河市庄河市营商环境建设局部门</w:t>
      </w:r>
      <w:r>
        <w:rPr>
          <w:rFonts w:ascii="仿宋_GB2312" w:eastAsia="仿宋_GB2312" w:hint="eastAsia"/>
          <w:sz w:val="32"/>
          <w:szCs w:val="32"/>
        </w:rPr>
        <w:t>决算仅包括</w:t>
      </w:r>
      <w:r>
        <w:rPr>
          <w:rFonts w:ascii="仿宋_GB2312" w:eastAsia="仿宋_GB2312" w:hAnsi="宋体" w:hint="eastAsia"/>
          <w:sz w:val="32"/>
          <w:szCs w:val="32"/>
        </w:rPr>
        <w:t>庄河市营商环境建设局</w:t>
      </w:r>
      <w:r>
        <w:rPr>
          <w:rFonts w:ascii="仿宋_GB2312" w:eastAsia="仿宋_GB2312" w:hint="eastAsia"/>
          <w:sz w:val="32"/>
          <w:szCs w:val="32"/>
        </w:rPr>
        <w:t>本级决算无下属</w:t>
      </w:r>
      <w:r>
        <w:rPr>
          <w:rFonts w:ascii="仿宋_GB2312" w:eastAsia="仿宋_GB2312" w:hAnsi="宋体" w:hint="eastAsia"/>
          <w:sz w:val="32"/>
          <w:szCs w:val="32"/>
        </w:rPr>
        <w:t>行政</w:t>
      </w:r>
      <w:r>
        <w:rPr>
          <w:rFonts w:ascii="仿宋_GB2312" w:eastAsia="仿宋_GB2312" w:hint="eastAsia"/>
          <w:sz w:val="32"/>
          <w:szCs w:val="32"/>
        </w:rPr>
        <w:t>事业单位。</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庄河市营商环境建设局内设机构3个，包括：办公室、营商办、招投标办公室。</w:t>
      </w:r>
    </w:p>
    <w:p w:rsidR="000C3650" w:rsidRDefault="000C3650">
      <w:pPr>
        <w:ind w:firstLineChars="200" w:firstLine="643"/>
        <w:jc w:val="left"/>
        <w:rPr>
          <w:rFonts w:ascii="仿宋_GB2312" w:eastAsia="仿宋_GB2312"/>
          <w:b/>
          <w:sz w:val="32"/>
          <w:szCs w:val="32"/>
        </w:rPr>
      </w:pPr>
    </w:p>
    <w:p w:rsidR="000C3650" w:rsidRDefault="000C3650">
      <w:pPr>
        <w:ind w:firstLineChars="200" w:firstLine="643"/>
        <w:jc w:val="left"/>
        <w:rPr>
          <w:rFonts w:ascii="仿宋_GB2312" w:eastAsia="仿宋_GB2312"/>
          <w:b/>
          <w:sz w:val="32"/>
          <w:szCs w:val="32"/>
        </w:rPr>
      </w:pPr>
    </w:p>
    <w:p w:rsidR="000C3650" w:rsidRDefault="000C3650">
      <w:pPr>
        <w:ind w:firstLineChars="200" w:firstLine="643"/>
        <w:jc w:val="left"/>
        <w:rPr>
          <w:rFonts w:ascii="仿宋_GB2312" w:eastAsia="仿宋_GB2312"/>
          <w:b/>
          <w:sz w:val="32"/>
          <w:szCs w:val="32"/>
        </w:rPr>
      </w:pPr>
    </w:p>
    <w:p w:rsidR="000C3650" w:rsidRDefault="000C3650">
      <w:pPr>
        <w:ind w:firstLineChars="200" w:firstLine="643"/>
        <w:jc w:val="left"/>
        <w:rPr>
          <w:rFonts w:ascii="仿宋_GB2312" w:eastAsia="仿宋_GB2312"/>
          <w:b/>
          <w:sz w:val="32"/>
          <w:szCs w:val="32"/>
        </w:rPr>
      </w:pPr>
    </w:p>
    <w:p w:rsidR="000C3650" w:rsidRDefault="00350081">
      <w:pPr>
        <w:jc w:val="center"/>
        <w:rPr>
          <w:rFonts w:ascii="宋体" w:hAnsi="宋体" w:cs="宋体"/>
          <w:b/>
          <w:bCs/>
          <w:sz w:val="36"/>
          <w:szCs w:val="36"/>
        </w:rPr>
      </w:pPr>
      <w:r>
        <w:rPr>
          <w:rFonts w:ascii="宋体" w:hAnsi="宋体" w:cs="宋体" w:hint="eastAsia"/>
          <w:b/>
          <w:bCs/>
          <w:sz w:val="36"/>
          <w:szCs w:val="36"/>
        </w:rPr>
        <w:lastRenderedPageBreak/>
        <w:t>第二部分  庄河市营商环境建设局2021年度</w:t>
      </w:r>
    </w:p>
    <w:p w:rsidR="000C3650" w:rsidRDefault="00350081">
      <w:pPr>
        <w:jc w:val="center"/>
        <w:rPr>
          <w:rFonts w:ascii="宋体" w:hAnsi="宋体" w:cs="宋体"/>
          <w:b/>
          <w:bCs/>
          <w:sz w:val="36"/>
          <w:szCs w:val="36"/>
        </w:rPr>
      </w:pPr>
      <w:r>
        <w:rPr>
          <w:rFonts w:ascii="宋体" w:hAnsi="宋体" w:cs="宋体" w:hint="eastAsia"/>
          <w:b/>
          <w:bCs/>
          <w:sz w:val="36"/>
          <w:szCs w:val="36"/>
        </w:rPr>
        <w:t>部门决算情况说明</w:t>
      </w:r>
    </w:p>
    <w:p w:rsidR="000C3650" w:rsidRDefault="000C3650">
      <w:pPr>
        <w:jc w:val="center"/>
        <w:rPr>
          <w:rFonts w:ascii="黑体" w:eastAsia="黑体"/>
          <w:sz w:val="32"/>
          <w:szCs w:val="32"/>
        </w:rPr>
      </w:pP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一、关于庄河市营商环境建设局2021年度收入支出决算总体情况说明</w:t>
      </w:r>
    </w:p>
    <w:p w:rsidR="000C3650" w:rsidRDefault="00350081">
      <w:pPr>
        <w:ind w:firstLineChars="200" w:firstLine="640"/>
        <w:rPr>
          <w:rFonts w:ascii="仿宋_GB2312" w:eastAsia="仿宋_GB2312"/>
          <w:sz w:val="32"/>
          <w:szCs w:val="32"/>
        </w:rPr>
      </w:pPr>
      <w:r>
        <w:rPr>
          <w:rFonts w:ascii="仿宋_GB2312" w:eastAsia="仿宋_GB2312" w:hAnsi="宋体" w:hint="eastAsia"/>
          <w:sz w:val="32"/>
          <w:szCs w:val="32"/>
        </w:rPr>
        <w:t>庄河市营商环境建设局</w:t>
      </w:r>
      <w:r>
        <w:rPr>
          <w:rFonts w:ascii="仿宋_GB2312" w:eastAsia="仿宋_GB2312" w:hint="eastAsia"/>
          <w:sz w:val="32"/>
          <w:szCs w:val="32"/>
        </w:rPr>
        <w:t>2021年度收入总计为356.67万元、支出总计为385.97万元。与2020年度相比，收入、支出总计各增加32.85万元、61.28万元。主要原因：人员增加，工资福利支出增加，商品服务支出增加。</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二、关于庄河市营商环境建设局2021年度收入决算情况说明</w:t>
      </w:r>
    </w:p>
    <w:p w:rsidR="000C3650" w:rsidRDefault="00350081">
      <w:pPr>
        <w:ind w:firstLineChars="200" w:firstLine="640"/>
        <w:rPr>
          <w:rFonts w:ascii="仿宋_GB2312" w:eastAsia="仿宋_GB2312"/>
          <w:sz w:val="32"/>
          <w:szCs w:val="32"/>
        </w:rPr>
      </w:pPr>
      <w:r>
        <w:rPr>
          <w:rFonts w:ascii="仿宋_GB2312" w:eastAsia="仿宋_GB2312" w:hAnsi="宋体" w:hint="eastAsia"/>
          <w:sz w:val="32"/>
          <w:szCs w:val="32"/>
        </w:rPr>
        <w:t>本年</w:t>
      </w:r>
      <w:r>
        <w:rPr>
          <w:rFonts w:ascii="仿宋_GB2312" w:eastAsia="仿宋_GB2312" w:hint="eastAsia"/>
          <w:sz w:val="32"/>
          <w:szCs w:val="32"/>
        </w:rPr>
        <w:t>收入合计356.67万元，其中：财政拨款收入256.67万元，占100%。</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三、关于庄河市营商环境建设局2021年度支出决算情况说明</w:t>
      </w:r>
    </w:p>
    <w:p w:rsidR="000C3650" w:rsidRDefault="00350081">
      <w:pPr>
        <w:ind w:firstLineChars="200" w:firstLine="640"/>
        <w:rPr>
          <w:rFonts w:ascii="仿宋_GB2312" w:eastAsia="仿宋_GB2312"/>
          <w:sz w:val="32"/>
          <w:szCs w:val="32"/>
        </w:rPr>
      </w:pPr>
      <w:r>
        <w:rPr>
          <w:rFonts w:ascii="仿宋_GB2312" w:eastAsia="仿宋_GB2312" w:hAnsi="宋体" w:hint="eastAsia"/>
          <w:sz w:val="32"/>
          <w:szCs w:val="32"/>
        </w:rPr>
        <w:t>本年</w:t>
      </w:r>
      <w:r>
        <w:rPr>
          <w:rFonts w:ascii="仿宋_GB2312" w:eastAsia="仿宋_GB2312" w:hint="eastAsia"/>
          <w:sz w:val="32"/>
          <w:szCs w:val="32"/>
        </w:rPr>
        <w:t>支出合计385.97万元，其中：基本支出385.97万元，占100%。</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四、关于庄河市营商环境建设局2021年度财政拨款收入支出总体情况说明</w:t>
      </w:r>
    </w:p>
    <w:p w:rsidR="000C3650" w:rsidRDefault="00350081">
      <w:pPr>
        <w:ind w:firstLineChars="200" w:firstLine="640"/>
        <w:rPr>
          <w:rFonts w:ascii="仿宋_GB2312" w:eastAsia="仿宋_GB2312"/>
          <w:sz w:val="32"/>
          <w:szCs w:val="32"/>
        </w:rPr>
      </w:pPr>
      <w:r>
        <w:rPr>
          <w:rFonts w:ascii="仿宋_GB2312" w:eastAsia="仿宋_GB2312" w:hAnsi="宋体" w:hint="eastAsia"/>
          <w:sz w:val="32"/>
          <w:szCs w:val="32"/>
        </w:rPr>
        <w:t>庄河市营商环境建设局</w:t>
      </w:r>
      <w:r>
        <w:rPr>
          <w:rFonts w:ascii="仿宋_GB2312" w:eastAsia="仿宋_GB2312" w:hint="eastAsia"/>
          <w:sz w:val="32"/>
          <w:szCs w:val="32"/>
        </w:rPr>
        <w:t>2021年度财政拨款收支总决算</w:t>
      </w:r>
      <w:r w:rsidR="00F42B02">
        <w:rPr>
          <w:rFonts w:ascii="仿宋_GB2312" w:eastAsia="仿宋_GB2312" w:hint="eastAsia"/>
          <w:sz w:val="32"/>
          <w:szCs w:val="32"/>
        </w:rPr>
        <w:t>385.97</w:t>
      </w:r>
      <w:r>
        <w:rPr>
          <w:rFonts w:ascii="仿宋_GB2312" w:eastAsia="仿宋_GB2312" w:hint="eastAsia"/>
          <w:sz w:val="32"/>
          <w:szCs w:val="32"/>
        </w:rPr>
        <w:t>万元。与2020年度相比，财政拨款收、支总计各增加32.85万元、61.28万元，增长10.14%,18.87%。主要原</w:t>
      </w:r>
      <w:r>
        <w:rPr>
          <w:rFonts w:ascii="仿宋_GB2312" w:eastAsia="仿宋_GB2312" w:hint="eastAsia"/>
          <w:sz w:val="32"/>
          <w:szCs w:val="32"/>
        </w:rPr>
        <w:lastRenderedPageBreak/>
        <w:t>因：人员增加，工资福利支出增加，商品服务支出增加。</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五、关于庄河市</w:t>
      </w:r>
      <w:r w:rsidR="00C042AF">
        <w:rPr>
          <w:rFonts w:ascii="黑体" w:eastAsia="黑体" w:hAnsi="黑体" w:hint="eastAsia"/>
          <w:bCs/>
          <w:sz w:val="32"/>
          <w:szCs w:val="32"/>
        </w:rPr>
        <w:t>营商环境建设</w:t>
      </w:r>
      <w:r>
        <w:rPr>
          <w:rFonts w:ascii="黑体" w:eastAsia="黑体" w:hAnsi="黑体" w:hint="eastAsia"/>
          <w:bCs/>
          <w:sz w:val="32"/>
          <w:szCs w:val="32"/>
        </w:rPr>
        <w:t>局2021年度一般公共预算财政拨款支出决算情况说明</w:t>
      </w:r>
    </w:p>
    <w:p w:rsidR="000C3650" w:rsidRDefault="00350081">
      <w:pPr>
        <w:ind w:firstLineChars="200" w:firstLine="643"/>
        <w:outlineLvl w:val="0"/>
        <w:rPr>
          <w:rFonts w:ascii="楷体_GB2312" w:eastAsia="楷体_GB2312" w:hAnsi="宋体"/>
          <w:b/>
          <w:sz w:val="32"/>
          <w:szCs w:val="32"/>
        </w:rPr>
      </w:pPr>
      <w:r>
        <w:rPr>
          <w:rFonts w:ascii="楷体_GB2312" w:eastAsia="楷体_GB2312" w:hAnsi="宋体" w:hint="eastAsia"/>
          <w:b/>
          <w:sz w:val="32"/>
          <w:szCs w:val="32"/>
        </w:rPr>
        <w:t>（一）一般公共预算财政拨款支出决算总体情况</w:t>
      </w:r>
    </w:p>
    <w:p w:rsidR="000C3650" w:rsidRDefault="00350081">
      <w:pPr>
        <w:ind w:firstLineChars="200" w:firstLine="640"/>
        <w:rPr>
          <w:rFonts w:ascii="仿宋_GB2312" w:eastAsia="仿宋_GB2312"/>
          <w:sz w:val="32"/>
          <w:szCs w:val="32"/>
        </w:rPr>
      </w:pPr>
      <w:r>
        <w:rPr>
          <w:rFonts w:ascii="仿宋_GB2312" w:eastAsia="仿宋_GB2312" w:hAnsi="宋体" w:hint="eastAsia"/>
          <w:sz w:val="32"/>
          <w:szCs w:val="32"/>
        </w:rPr>
        <w:t>庄河市营商环境建设局</w:t>
      </w:r>
      <w:r>
        <w:rPr>
          <w:rFonts w:ascii="仿宋_GB2312" w:eastAsia="仿宋_GB2312" w:hint="eastAsia"/>
          <w:sz w:val="32"/>
          <w:szCs w:val="32"/>
        </w:rPr>
        <w:t>2021年度一般公共预算财政拨款支出385.97万元，占本年支出合计的100%。与2020年度相比，一般公共预算财政拨款支出增加61.28万元，增长18.87%。主要原因：人员增加，工资福利支出增加，商品服务支出增加。</w:t>
      </w:r>
    </w:p>
    <w:p w:rsidR="000C3650" w:rsidRDefault="00350081">
      <w:pPr>
        <w:ind w:firstLineChars="200" w:firstLine="643"/>
        <w:outlineLvl w:val="0"/>
        <w:rPr>
          <w:rFonts w:ascii="楷体_GB2312" w:eastAsia="楷体_GB2312" w:hAnsi="宋体"/>
          <w:b/>
          <w:sz w:val="32"/>
          <w:szCs w:val="32"/>
        </w:rPr>
      </w:pPr>
      <w:r>
        <w:rPr>
          <w:rFonts w:ascii="楷体_GB2312" w:eastAsia="楷体_GB2312" w:hAnsi="宋体" w:hint="eastAsia"/>
          <w:b/>
          <w:sz w:val="32"/>
          <w:szCs w:val="32"/>
        </w:rPr>
        <w:t>（二）一般公共预算财政拨款支出决算结构情况</w:t>
      </w:r>
    </w:p>
    <w:p w:rsidR="000C3650" w:rsidRDefault="00350081">
      <w:pPr>
        <w:ind w:firstLineChars="200" w:firstLine="640"/>
        <w:rPr>
          <w:rFonts w:ascii="仿宋_GB2312" w:eastAsia="仿宋_GB2312" w:hAnsi="宋体"/>
          <w:sz w:val="32"/>
          <w:szCs w:val="32"/>
        </w:rPr>
      </w:pPr>
      <w:r>
        <w:rPr>
          <w:rFonts w:ascii="仿宋_GB2312" w:eastAsia="仿宋_GB2312" w:hAnsi="宋体" w:hint="eastAsia"/>
          <w:sz w:val="32"/>
          <w:szCs w:val="32"/>
        </w:rPr>
        <w:t>庄河市营商环境建设局</w:t>
      </w:r>
      <w:r>
        <w:rPr>
          <w:rFonts w:ascii="仿宋_GB2312" w:eastAsia="仿宋_GB2312" w:hint="eastAsia"/>
          <w:sz w:val="32"/>
          <w:szCs w:val="32"/>
        </w:rPr>
        <w:t>2021年度一般公共预算财政拨款支出385.97万元，主要用于以下方面：一般公共服务支出385.97万元，占100%。</w:t>
      </w:r>
    </w:p>
    <w:p w:rsidR="000C3650" w:rsidRDefault="00350081">
      <w:pPr>
        <w:ind w:firstLineChars="200" w:firstLine="643"/>
        <w:outlineLvl w:val="0"/>
        <w:rPr>
          <w:rFonts w:ascii="楷体_GB2312" w:eastAsia="楷体_GB2312" w:hAnsi="宋体"/>
          <w:b/>
          <w:sz w:val="32"/>
          <w:szCs w:val="32"/>
        </w:rPr>
      </w:pPr>
      <w:r>
        <w:rPr>
          <w:rFonts w:ascii="楷体_GB2312" w:eastAsia="楷体_GB2312" w:hAnsi="宋体" w:hint="eastAsia"/>
          <w:b/>
          <w:sz w:val="32"/>
          <w:szCs w:val="32"/>
        </w:rPr>
        <w:t>（三）一般公共预算财政拨款支出决算具体情况</w:t>
      </w:r>
    </w:p>
    <w:p w:rsidR="000C3650" w:rsidRDefault="00350081">
      <w:pPr>
        <w:ind w:firstLineChars="200" w:firstLine="640"/>
        <w:rPr>
          <w:rFonts w:ascii="仿宋_GB2312" w:eastAsia="仿宋_GB2312"/>
          <w:sz w:val="32"/>
          <w:szCs w:val="32"/>
        </w:rPr>
      </w:pPr>
      <w:r>
        <w:rPr>
          <w:rFonts w:ascii="仿宋_GB2312" w:eastAsia="仿宋_GB2312" w:hAnsi="宋体" w:hint="eastAsia"/>
          <w:sz w:val="32"/>
          <w:szCs w:val="32"/>
        </w:rPr>
        <w:t>庄河市营商环境建设局</w:t>
      </w:r>
      <w:r>
        <w:rPr>
          <w:rFonts w:ascii="仿宋_GB2312" w:eastAsia="仿宋_GB2312" w:hint="eastAsia"/>
          <w:sz w:val="32"/>
          <w:szCs w:val="32"/>
        </w:rPr>
        <w:t>2021年度一般公共预算财政拨款支出年初预算为275.80万元，支出决算为385.97万元，完成年初预算的135.95%。决算数大于预算数的主要原因：人员增加，工资福利支出增加，商品服务支出增加。其中：</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1.一般公共服务支出类政府办公厅（室）及相关机构事务款政务公开审批项。主要用于：政务公开审批及机构运行。年初预算为228.80万元，支出决算为283.33万元。决算数大于预算数的主要原因：</w:t>
      </w:r>
      <w:r w:rsidR="003A47C6">
        <w:rPr>
          <w:rFonts w:ascii="仿宋_GB2312" w:eastAsia="仿宋_GB2312" w:hint="eastAsia"/>
          <w:sz w:val="32"/>
          <w:szCs w:val="32"/>
        </w:rPr>
        <w:t>人员增加，基本支出增加</w:t>
      </w:r>
      <w:r>
        <w:rPr>
          <w:rFonts w:ascii="仿宋_GB2312" w:eastAsia="仿宋_GB2312" w:hint="eastAsia"/>
          <w:sz w:val="32"/>
          <w:szCs w:val="32"/>
        </w:rPr>
        <w:t>。</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lastRenderedPageBreak/>
        <w:t>2.社会保障和就业支出类行政事业单位离退休</w:t>
      </w:r>
      <w:proofErr w:type="gramStart"/>
      <w:r>
        <w:rPr>
          <w:rFonts w:ascii="仿宋_GB2312" w:eastAsia="仿宋_GB2312" w:hint="eastAsia"/>
          <w:sz w:val="32"/>
          <w:szCs w:val="32"/>
        </w:rPr>
        <w:t>款机关</w:t>
      </w:r>
      <w:proofErr w:type="gramEnd"/>
      <w:r>
        <w:rPr>
          <w:rFonts w:ascii="仿宋_GB2312" w:eastAsia="仿宋_GB2312" w:hint="eastAsia"/>
          <w:sz w:val="32"/>
          <w:szCs w:val="32"/>
        </w:rPr>
        <w:t>事业单位基本养老缴费支出项。主要用于：机关事业单位基本养老保险。年初预算为13.10万元，支出决算为13.10万元。决算数与预算数持平。</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3.卫生健康支出类行政事业单位医疗</w:t>
      </w:r>
      <w:proofErr w:type="gramStart"/>
      <w:r>
        <w:rPr>
          <w:rFonts w:ascii="仿宋_GB2312" w:eastAsia="仿宋_GB2312" w:hint="eastAsia"/>
          <w:sz w:val="32"/>
          <w:szCs w:val="32"/>
        </w:rPr>
        <w:t>款行政</w:t>
      </w:r>
      <w:proofErr w:type="gramEnd"/>
      <w:r>
        <w:rPr>
          <w:rFonts w:ascii="仿宋_GB2312" w:eastAsia="仿宋_GB2312" w:hint="eastAsia"/>
          <w:sz w:val="32"/>
          <w:szCs w:val="32"/>
        </w:rPr>
        <w:t>单位医疗项、公务员医疗补助项。主要用于行政单位医疗，公务员医疗补助。年初预算为12.20万元，支出决算为10.60万元。决算数小于预算数的主要原因：花园口调转人员暂未补缴。</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4.住房和保障支出类住房改革</w:t>
      </w:r>
      <w:proofErr w:type="gramStart"/>
      <w:r>
        <w:rPr>
          <w:rFonts w:ascii="仿宋_GB2312" w:eastAsia="仿宋_GB2312" w:hint="eastAsia"/>
          <w:sz w:val="32"/>
          <w:szCs w:val="32"/>
        </w:rPr>
        <w:t>支出款住房</w:t>
      </w:r>
      <w:proofErr w:type="gramEnd"/>
      <w:r>
        <w:rPr>
          <w:rFonts w:ascii="仿宋_GB2312" w:eastAsia="仿宋_GB2312" w:hint="eastAsia"/>
          <w:sz w:val="32"/>
          <w:szCs w:val="32"/>
        </w:rPr>
        <w:t>公积金类、提租补贴</w:t>
      </w:r>
      <w:r w:rsidR="003A47C6">
        <w:rPr>
          <w:rFonts w:ascii="仿宋_GB2312" w:eastAsia="仿宋_GB2312" w:hint="eastAsia"/>
          <w:sz w:val="32"/>
          <w:szCs w:val="32"/>
        </w:rPr>
        <w:t>项</w:t>
      </w:r>
      <w:r>
        <w:rPr>
          <w:rFonts w:ascii="仿宋_GB2312" w:eastAsia="仿宋_GB2312" w:hint="eastAsia"/>
          <w:sz w:val="32"/>
          <w:szCs w:val="32"/>
        </w:rPr>
        <w:t>。主要用于住房公积金、提租补贴。年初预算为21.70万元，支出决算为21.68万元。决算数与预算数持平。</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六、关于庄河市营商环境建设局2021年度一般公共预算财政拨款基本支出决算情况说明</w:t>
      </w:r>
    </w:p>
    <w:p w:rsidR="000C3650" w:rsidRDefault="00350081">
      <w:pPr>
        <w:ind w:firstLineChars="200" w:firstLine="640"/>
        <w:rPr>
          <w:rFonts w:ascii="仿宋_GB2312" w:eastAsia="仿宋_GB2312"/>
          <w:sz w:val="32"/>
          <w:szCs w:val="32"/>
        </w:rPr>
      </w:pPr>
      <w:r>
        <w:rPr>
          <w:rFonts w:ascii="仿宋_GB2312" w:eastAsia="仿宋_GB2312" w:hAnsi="宋体" w:hint="eastAsia"/>
          <w:sz w:val="32"/>
          <w:szCs w:val="32"/>
        </w:rPr>
        <w:t>庄河市营商环境建设局</w:t>
      </w:r>
      <w:r>
        <w:rPr>
          <w:rFonts w:ascii="仿宋_GB2312" w:eastAsia="仿宋_GB2312" w:hint="eastAsia"/>
          <w:sz w:val="32"/>
          <w:szCs w:val="32"/>
        </w:rPr>
        <w:t>2021年度一般公共预算财政拨款基本支出385.97万元，包括人员经费316.03万元，公用经费69.94万元。基本支出中：</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1、工资福利支出316.03万元，主要用于：基本工资、津贴补贴、奖金、基本养老保险、医疗保险缴费、住房公积金、奖励金。</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2、商品和服务支出63.22万元，主要用于：办公费、印刷费、邮电费、差旅费、维修费、公务接待费、培训费、劳务费、委托业务费、工会经费、公务车运行维护费。</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lastRenderedPageBreak/>
        <w:t>3、资本性支出6.72万元。主要用于：办公设备购置。</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七、关于庄河市营商环境建设局2021年度一般公共预算财政拨款“三公”经费支出决算情况说明</w:t>
      </w:r>
    </w:p>
    <w:p w:rsidR="000C3650" w:rsidRDefault="00350081">
      <w:pPr>
        <w:ind w:firstLineChars="200" w:firstLine="643"/>
        <w:outlineLvl w:val="0"/>
        <w:rPr>
          <w:rFonts w:ascii="楷体_GB2312" w:eastAsia="楷体_GB2312"/>
          <w:b/>
          <w:sz w:val="32"/>
          <w:szCs w:val="32"/>
        </w:rPr>
      </w:pPr>
      <w:r>
        <w:rPr>
          <w:rFonts w:ascii="楷体_GB2312" w:eastAsia="楷体_GB2312" w:hAnsi="宋体" w:hint="eastAsia"/>
          <w:b/>
          <w:sz w:val="32"/>
          <w:szCs w:val="32"/>
        </w:rPr>
        <w:t>（一）</w:t>
      </w:r>
      <w:r>
        <w:rPr>
          <w:rFonts w:ascii="楷体_GB2312" w:eastAsia="楷体_GB2312" w:hint="eastAsia"/>
          <w:b/>
          <w:sz w:val="32"/>
          <w:szCs w:val="32"/>
        </w:rPr>
        <w:t>“三公”经费财政拨款支出决算总体情况说明</w:t>
      </w:r>
    </w:p>
    <w:p w:rsidR="000C3650" w:rsidRDefault="00350081">
      <w:pPr>
        <w:ind w:firstLineChars="200" w:firstLine="640"/>
        <w:rPr>
          <w:rFonts w:ascii="仿宋_GB2312" w:eastAsia="仿宋_GB2312"/>
          <w:sz w:val="32"/>
          <w:szCs w:val="32"/>
        </w:rPr>
      </w:pPr>
      <w:r>
        <w:rPr>
          <w:rFonts w:ascii="仿宋_GB2312" w:eastAsia="仿宋_GB2312" w:hAnsi="宋体" w:hint="eastAsia"/>
          <w:sz w:val="32"/>
          <w:szCs w:val="32"/>
        </w:rPr>
        <w:t>庄河市营商环境建设局</w:t>
      </w:r>
      <w:r>
        <w:rPr>
          <w:rFonts w:ascii="仿宋_GB2312" w:eastAsia="仿宋_GB2312" w:hint="eastAsia"/>
          <w:sz w:val="32"/>
          <w:szCs w:val="32"/>
        </w:rPr>
        <w:t>2021年度“三公”经费财政拨款支出年初预算为3.50万元，支出决算为1.08万元，决算数小于预算数的主要原因：按照市委市政府关于厉行节约、改进工作作风、严格控制“三公”经费支出，其中：因公出国（境）费年初预算为0万元，支出决算为0万元，</w:t>
      </w:r>
      <w:r>
        <w:rPr>
          <w:rFonts w:ascii="仿宋_GB2312" w:eastAsia="仿宋_GB2312" w:hAnsi="宋体" w:hint="eastAsia"/>
          <w:sz w:val="32"/>
          <w:szCs w:val="32"/>
        </w:rPr>
        <w:t>决算数与预算数持平的主要原因为我局不涉及因公出国（境）业务</w:t>
      </w:r>
      <w:r>
        <w:rPr>
          <w:rFonts w:ascii="仿宋_GB2312" w:eastAsia="仿宋_GB2312" w:hint="eastAsia"/>
          <w:sz w:val="32"/>
          <w:szCs w:val="32"/>
        </w:rPr>
        <w:t>；公务用车购置及运行费支出年初预算为3万元，支出决算为1.08万元，决算数小于预算数的</w:t>
      </w:r>
      <w:r>
        <w:rPr>
          <w:rFonts w:ascii="仿宋_GB2312" w:eastAsia="仿宋_GB2312" w:hAnsi="宋体" w:hint="eastAsia"/>
          <w:sz w:val="32"/>
          <w:szCs w:val="32"/>
        </w:rPr>
        <w:t>主要原因：</w:t>
      </w:r>
      <w:r>
        <w:rPr>
          <w:rFonts w:ascii="仿宋_GB2312" w:eastAsia="仿宋_GB2312" w:hint="eastAsia"/>
          <w:sz w:val="32"/>
          <w:szCs w:val="32"/>
        </w:rPr>
        <w:t>按照市委市政府关于厉行节约、改进工作作风、严格控制“三公”经费支出</w:t>
      </w:r>
      <w:r>
        <w:rPr>
          <w:rFonts w:ascii="仿宋_GB2312" w:eastAsia="仿宋_GB2312" w:hAnsi="宋体" w:hint="eastAsia"/>
          <w:sz w:val="32"/>
          <w:szCs w:val="32"/>
        </w:rPr>
        <w:t>，</w:t>
      </w:r>
      <w:r>
        <w:rPr>
          <w:rFonts w:ascii="仿宋_GB2312" w:eastAsia="仿宋_GB2312" w:hint="eastAsia"/>
          <w:sz w:val="32"/>
          <w:szCs w:val="32"/>
        </w:rPr>
        <w:t>其中：公务用车购置费年初预算为0万元，支出决算为0万元，</w:t>
      </w:r>
      <w:r>
        <w:rPr>
          <w:rFonts w:ascii="仿宋_GB2312" w:eastAsia="仿宋_GB2312" w:hAnsi="宋体" w:hint="eastAsia"/>
          <w:sz w:val="32"/>
          <w:szCs w:val="32"/>
        </w:rPr>
        <w:t>决算数与预算数持平的主要原因是我局编制内用车目前能够满足公务用车需求</w:t>
      </w:r>
      <w:r>
        <w:rPr>
          <w:rFonts w:ascii="仿宋_GB2312" w:eastAsia="仿宋_GB2312" w:hint="eastAsia"/>
          <w:sz w:val="32"/>
          <w:szCs w:val="32"/>
        </w:rPr>
        <w:t>；公务用车运行维护费年初预算为3万元，支出决算为1.08万元，决算数小于预算数的主要原因：按照市委市政府关于厉行节约、改进工作作风、严格控制“三公”经费支出；公务接待费年初预算为0.5万元，支出决算为0万元，决算数小于预算数的主要原因：按照市委市政府关于厉行节约、改进工作作风、严格控制“三公”经费支出。</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lastRenderedPageBreak/>
        <w:t>2021年度“三公”经费财政拨款支出决算数比2020年度决算数减少0.68万元，下降38.64%，主要原因：按照市委市政府关于厉行节约、改进工作作风、严格控制“三公”经费支出，其中：</w:t>
      </w:r>
      <w:r>
        <w:rPr>
          <w:rFonts w:ascii="仿宋_GB2312" w:eastAsia="仿宋_GB2312" w:hAnsi="宋体" w:hint="eastAsia"/>
          <w:sz w:val="32"/>
          <w:szCs w:val="32"/>
        </w:rPr>
        <w:t>因公出国（境）费支出决算增加0万元，增长0%；主要原因是我局不涉及因公出国（境）业务</w:t>
      </w:r>
      <w:r>
        <w:rPr>
          <w:rFonts w:ascii="仿宋_GB2312" w:eastAsia="仿宋_GB2312" w:hint="eastAsia"/>
          <w:sz w:val="32"/>
          <w:szCs w:val="32"/>
        </w:rPr>
        <w:t>；公务用车购置及运行费支出决算减少0.68万元，下降38.64%，主要原因：按照市委市政府关于厉行节约、改进工作作风、严格控制“三公”经费支出，</w:t>
      </w:r>
      <w:r>
        <w:rPr>
          <w:rFonts w:ascii="仿宋_GB2312" w:eastAsia="仿宋_GB2312"/>
          <w:sz w:val="32"/>
          <w:szCs w:val="32"/>
        </w:rPr>
        <w:t>其中：</w:t>
      </w:r>
      <w:r>
        <w:rPr>
          <w:rFonts w:ascii="仿宋_GB2312" w:eastAsia="仿宋_GB2312" w:hAnsi="宋体" w:hint="eastAsia"/>
          <w:sz w:val="32"/>
          <w:szCs w:val="32"/>
        </w:rPr>
        <w:t>公务用车购置费支出决算增加0万元，增长0%；主要原因是编制内公务车能够满足公务用车需要。公务用车运行维护费支出决算减少0.68万元，下降38.64%，主要原因：</w:t>
      </w:r>
      <w:r>
        <w:rPr>
          <w:rFonts w:ascii="仿宋_GB2312" w:eastAsia="仿宋_GB2312" w:hint="eastAsia"/>
          <w:sz w:val="32"/>
          <w:szCs w:val="32"/>
        </w:rPr>
        <w:t>按照市委市政府关于厉行节约、改进工作作风、严格控制“三公”经费支出</w:t>
      </w:r>
      <w:r>
        <w:rPr>
          <w:rFonts w:ascii="仿宋_GB2312" w:eastAsia="仿宋_GB2312" w:hAnsi="宋体" w:hint="eastAsia"/>
          <w:sz w:val="32"/>
          <w:szCs w:val="32"/>
        </w:rPr>
        <w:t>；</w:t>
      </w:r>
      <w:r>
        <w:rPr>
          <w:rFonts w:ascii="仿宋_GB2312" w:eastAsia="仿宋_GB2312" w:hint="eastAsia"/>
          <w:sz w:val="32"/>
          <w:szCs w:val="32"/>
        </w:rPr>
        <w:t>公务接待费支出决算减少0.19万元，下降100%，主要原因：按照市委市政府关于厉行节约、改进工作作风、严格控制“三公”经费支出。</w:t>
      </w:r>
    </w:p>
    <w:p w:rsidR="000C3650" w:rsidRDefault="00350081">
      <w:pPr>
        <w:ind w:firstLineChars="200" w:firstLine="643"/>
        <w:outlineLvl w:val="0"/>
        <w:rPr>
          <w:rFonts w:ascii="楷体_GB2312" w:eastAsia="楷体_GB2312"/>
          <w:b/>
          <w:sz w:val="32"/>
          <w:szCs w:val="32"/>
        </w:rPr>
      </w:pPr>
      <w:r>
        <w:rPr>
          <w:rFonts w:ascii="楷体_GB2312" w:eastAsia="楷体_GB2312" w:hAnsi="宋体" w:hint="eastAsia"/>
          <w:b/>
          <w:sz w:val="32"/>
          <w:szCs w:val="32"/>
        </w:rPr>
        <w:t>（二）</w:t>
      </w:r>
      <w:r>
        <w:rPr>
          <w:rFonts w:ascii="楷体_GB2312" w:eastAsia="楷体_GB2312" w:hint="eastAsia"/>
          <w:b/>
          <w:sz w:val="32"/>
          <w:szCs w:val="32"/>
        </w:rPr>
        <w:t>“三公”经费财政拨款支出决算具体情况说明</w:t>
      </w:r>
    </w:p>
    <w:p w:rsidR="000C3650" w:rsidRDefault="00350081">
      <w:pPr>
        <w:ind w:firstLineChars="200" w:firstLine="640"/>
        <w:rPr>
          <w:rFonts w:ascii="楷体_GB2312" w:eastAsia="楷体_GB2312"/>
          <w:b/>
          <w:sz w:val="32"/>
          <w:szCs w:val="32"/>
        </w:rPr>
      </w:pPr>
      <w:r>
        <w:rPr>
          <w:rFonts w:ascii="仿宋_GB2312" w:eastAsia="仿宋_GB2312" w:hint="eastAsia"/>
          <w:sz w:val="32"/>
          <w:szCs w:val="32"/>
        </w:rPr>
        <w:t>2021年度“三公”经费财政拨款支出决算中，因公出国（境）费支出决算0万元，占“三公”经费财政拨款支出的0%；公务用车购置及运行费支出决算1.08万元，占“三公”经费财政拨款支出的100%；公务接待费支出决算0万元，占“三公”经费财政拨款支出的0%。具体情况如下：</w:t>
      </w:r>
    </w:p>
    <w:p w:rsidR="000C3650" w:rsidRDefault="00350081">
      <w:pPr>
        <w:ind w:firstLineChars="200" w:firstLine="640"/>
        <w:rPr>
          <w:rFonts w:ascii="仿宋_GB2312" w:eastAsia="仿宋_GB2312" w:hAnsi="华文中宋"/>
          <w:sz w:val="32"/>
          <w:szCs w:val="32"/>
        </w:rPr>
      </w:pPr>
      <w:r>
        <w:rPr>
          <w:rFonts w:ascii="仿宋_GB2312" w:eastAsia="仿宋_GB2312" w:hint="eastAsia"/>
          <w:sz w:val="32"/>
          <w:szCs w:val="32"/>
        </w:rPr>
        <w:t>1.因公出国（境）费支出0万元。全年安排因公出国（境）</w:t>
      </w:r>
      <w:r>
        <w:rPr>
          <w:rFonts w:ascii="仿宋_GB2312" w:eastAsia="仿宋_GB2312" w:hint="eastAsia"/>
          <w:sz w:val="32"/>
          <w:szCs w:val="32"/>
        </w:rPr>
        <w:lastRenderedPageBreak/>
        <w:t>团组0个、累计0人次</w:t>
      </w:r>
      <w:r>
        <w:rPr>
          <w:rFonts w:ascii="仿宋_GB2312" w:eastAsia="仿宋_GB2312" w:hAnsi="华文中宋" w:hint="eastAsia"/>
          <w:sz w:val="32"/>
          <w:szCs w:val="32"/>
        </w:rPr>
        <w:t>。开支内容包括：</w:t>
      </w:r>
      <w:r>
        <w:rPr>
          <w:rFonts w:ascii="仿宋_GB2312" w:eastAsia="仿宋_GB2312" w:hint="eastAsia"/>
          <w:sz w:val="32"/>
          <w:szCs w:val="32"/>
        </w:rPr>
        <w:t>无。</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2.公务用车购置及运行费支出1.08万元。其中：</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公务用车购置支出0万元。购置公务用车0辆，主要用于：无。</w:t>
      </w:r>
    </w:p>
    <w:p w:rsidR="000C3650" w:rsidRDefault="00350081">
      <w:pPr>
        <w:ind w:firstLineChars="200" w:firstLine="640"/>
        <w:rPr>
          <w:rFonts w:eastAsia="仿宋_GB2312"/>
          <w:sz w:val="32"/>
          <w:szCs w:val="32"/>
        </w:rPr>
      </w:pPr>
      <w:r>
        <w:rPr>
          <w:rFonts w:eastAsia="仿宋_GB2312"/>
          <w:sz w:val="32"/>
          <w:szCs w:val="32"/>
        </w:rPr>
        <w:t>公务用车运行</w:t>
      </w:r>
      <w:r>
        <w:rPr>
          <w:rFonts w:eastAsia="仿宋_GB2312" w:hint="eastAsia"/>
          <w:sz w:val="32"/>
          <w:szCs w:val="32"/>
        </w:rPr>
        <w:t>维护费</w:t>
      </w:r>
      <w:r>
        <w:rPr>
          <w:rFonts w:eastAsia="仿宋_GB2312"/>
          <w:sz w:val="32"/>
          <w:szCs w:val="32"/>
        </w:rPr>
        <w:t>支出</w:t>
      </w:r>
      <w:r>
        <w:rPr>
          <w:rFonts w:ascii="仿宋_GB2312" w:eastAsia="仿宋_GB2312" w:hint="eastAsia"/>
          <w:sz w:val="32"/>
          <w:szCs w:val="32"/>
        </w:rPr>
        <w:t>1.08</w:t>
      </w:r>
      <w:r>
        <w:rPr>
          <w:rFonts w:eastAsia="仿宋_GB2312"/>
          <w:sz w:val="32"/>
          <w:szCs w:val="32"/>
        </w:rPr>
        <w:t>万元。主要用于</w:t>
      </w:r>
      <w:r>
        <w:rPr>
          <w:rFonts w:ascii="仿宋_GB2312" w:eastAsia="仿宋_GB2312" w:hint="eastAsia"/>
          <w:sz w:val="32"/>
          <w:szCs w:val="32"/>
        </w:rPr>
        <w:t>一般公务用车</w:t>
      </w:r>
      <w:r>
        <w:rPr>
          <w:rFonts w:eastAsia="仿宋_GB2312"/>
          <w:sz w:val="32"/>
          <w:szCs w:val="32"/>
        </w:rPr>
        <w:t>。</w:t>
      </w:r>
      <w:r>
        <w:rPr>
          <w:rFonts w:ascii="仿宋_GB2312" w:eastAsia="仿宋_GB2312" w:hAnsi="宋体" w:hint="eastAsia"/>
          <w:sz w:val="32"/>
          <w:szCs w:val="32"/>
        </w:rPr>
        <w:t>20</w:t>
      </w:r>
      <w:r>
        <w:rPr>
          <w:rFonts w:ascii="仿宋_GB2312" w:eastAsia="仿宋_GB2312" w:hAnsi="宋体"/>
          <w:sz w:val="32"/>
          <w:szCs w:val="32"/>
        </w:rPr>
        <w:t>2</w:t>
      </w:r>
      <w:r>
        <w:rPr>
          <w:rFonts w:ascii="仿宋_GB2312" w:eastAsia="仿宋_GB2312" w:hAnsi="宋体" w:hint="eastAsia"/>
          <w:sz w:val="32"/>
          <w:szCs w:val="32"/>
        </w:rPr>
        <w:t>1</w:t>
      </w:r>
      <w:r>
        <w:rPr>
          <w:rFonts w:eastAsia="仿宋_GB2312"/>
          <w:sz w:val="32"/>
          <w:szCs w:val="32"/>
        </w:rPr>
        <w:t>年，</w:t>
      </w:r>
      <w:r>
        <w:rPr>
          <w:rFonts w:eastAsia="仿宋_GB2312" w:hint="eastAsia"/>
          <w:sz w:val="32"/>
          <w:szCs w:val="32"/>
        </w:rPr>
        <w:t>庄河</w:t>
      </w:r>
      <w:r>
        <w:rPr>
          <w:rFonts w:eastAsia="仿宋_GB2312"/>
          <w:sz w:val="32"/>
          <w:szCs w:val="32"/>
        </w:rPr>
        <w:t>市</w:t>
      </w:r>
      <w:r>
        <w:rPr>
          <w:rFonts w:ascii="仿宋_GB2312" w:eastAsia="仿宋_GB2312" w:hint="eastAsia"/>
          <w:sz w:val="32"/>
          <w:szCs w:val="32"/>
        </w:rPr>
        <w:t>营商环境建设</w:t>
      </w:r>
      <w:r>
        <w:rPr>
          <w:rFonts w:eastAsia="仿宋_GB2312"/>
          <w:sz w:val="32"/>
          <w:szCs w:val="32"/>
        </w:rPr>
        <w:t>局所属各预算单位开支财政拨款的公务用车保有量为</w:t>
      </w:r>
      <w:r>
        <w:rPr>
          <w:rFonts w:ascii="仿宋_GB2312" w:eastAsia="仿宋_GB2312" w:hint="eastAsia"/>
          <w:sz w:val="32"/>
          <w:szCs w:val="32"/>
        </w:rPr>
        <w:t>1</w:t>
      </w:r>
      <w:r>
        <w:rPr>
          <w:rFonts w:eastAsia="仿宋_GB2312"/>
          <w:sz w:val="32"/>
          <w:szCs w:val="32"/>
        </w:rPr>
        <w:t>辆。</w:t>
      </w:r>
    </w:p>
    <w:p w:rsidR="000C3650" w:rsidRDefault="00350081">
      <w:pPr>
        <w:ind w:firstLine="600"/>
        <w:rPr>
          <w:rFonts w:ascii="仿宋_GB2312" w:eastAsia="仿宋_GB2312"/>
          <w:sz w:val="32"/>
          <w:szCs w:val="32"/>
        </w:rPr>
      </w:pPr>
      <w:r>
        <w:rPr>
          <w:rFonts w:ascii="仿宋_GB2312" w:eastAsia="仿宋_GB2312" w:hint="eastAsia"/>
          <w:sz w:val="32"/>
          <w:szCs w:val="32"/>
        </w:rPr>
        <w:t>3.公务接待费支出0万元。其中：</w:t>
      </w:r>
    </w:p>
    <w:p w:rsidR="000C3650" w:rsidRDefault="00350081">
      <w:pPr>
        <w:ind w:firstLine="600"/>
        <w:rPr>
          <w:rFonts w:ascii="仿宋_GB2312" w:eastAsia="仿宋_GB2312"/>
          <w:sz w:val="32"/>
          <w:szCs w:val="32"/>
        </w:rPr>
      </w:pPr>
      <w:r>
        <w:rPr>
          <w:rFonts w:ascii="仿宋_GB2312" w:eastAsia="仿宋_GB2312" w:hint="eastAsia"/>
          <w:sz w:val="32"/>
          <w:szCs w:val="32"/>
        </w:rPr>
        <w:t>国内接待费支出0万（含外宾接待支出0万元），主要用于：无，全年公务接待共0批次、0人次，其中：接待外宾0批次、0人次。</w:t>
      </w:r>
    </w:p>
    <w:p w:rsidR="000C3650" w:rsidRDefault="00350081">
      <w:pPr>
        <w:ind w:firstLine="600"/>
        <w:rPr>
          <w:rFonts w:ascii="仿宋_GB2312" w:eastAsia="仿宋_GB2312"/>
          <w:sz w:val="32"/>
          <w:szCs w:val="32"/>
        </w:rPr>
      </w:pPr>
      <w:r>
        <w:rPr>
          <w:rFonts w:ascii="仿宋_GB2312" w:eastAsia="仿宋_GB2312" w:hint="eastAsia"/>
          <w:sz w:val="32"/>
          <w:szCs w:val="32"/>
        </w:rPr>
        <w:t>国（境）外接待费支出0万元，主要用于：无，全年公务接待共0批次、0人次。</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八、关于庄河市营商环境建设局2021年度政府性基金预算财政拨款收入支出决算情况说明</w:t>
      </w:r>
    </w:p>
    <w:p w:rsidR="000C3650" w:rsidRDefault="00350081">
      <w:pPr>
        <w:ind w:firstLineChars="200" w:firstLine="643"/>
        <w:rPr>
          <w:rFonts w:ascii="仿宋_GB2312" w:eastAsia="仿宋_GB2312"/>
          <w:b/>
          <w:sz w:val="32"/>
          <w:szCs w:val="32"/>
        </w:rPr>
      </w:pPr>
      <w:r>
        <w:rPr>
          <w:rFonts w:ascii="仿宋_GB2312" w:eastAsia="仿宋_GB2312" w:hAnsi="宋体" w:hint="eastAsia"/>
          <w:b/>
          <w:sz w:val="32"/>
          <w:szCs w:val="32"/>
        </w:rPr>
        <w:t>庄河市营商环境建设局</w:t>
      </w:r>
      <w:r>
        <w:rPr>
          <w:rFonts w:ascii="仿宋_GB2312" w:eastAsia="仿宋_GB2312" w:hint="eastAsia"/>
          <w:b/>
          <w:sz w:val="32"/>
          <w:szCs w:val="32"/>
        </w:rPr>
        <w:t>2021年度无政府性基金预算财政拨款收入</w:t>
      </w:r>
      <w:r>
        <w:rPr>
          <w:rFonts w:ascii="仿宋_GB2312" w:eastAsia="仿宋_GB2312"/>
          <w:b/>
          <w:sz w:val="32"/>
          <w:szCs w:val="32"/>
        </w:rPr>
        <w:t>和</w:t>
      </w:r>
      <w:r>
        <w:rPr>
          <w:rFonts w:ascii="仿宋_GB2312" w:eastAsia="仿宋_GB2312" w:hint="eastAsia"/>
          <w:b/>
          <w:sz w:val="32"/>
          <w:szCs w:val="32"/>
        </w:rPr>
        <w:t>支出。</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九、关于庄河市营商环境建设局2021年度国有资本经营预算财政拨款收入支出决算情况说明</w:t>
      </w:r>
    </w:p>
    <w:p w:rsidR="000C3650" w:rsidRDefault="00350081">
      <w:pPr>
        <w:ind w:firstLineChars="200" w:firstLine="643"/>
        <w:rPr>
          <w:rFonts w:ascii="仿宋_GB2312" w:eastAsia="仿宋_GB2312"/>
          <w:b/>
          <w:sz w:val="32"/>
          <w:szCs w:val="32"/>
        </w:rPr>
      </w:pPr>
      <w:r>
        <w:rPr>
          <w:rFonts w:ascii="仿宋_GB2312" w:eastAsia="仿宋_GB2312" w:hAnsi="宋体" w:hint="eastAsia"/>
          <w:b/>
          <w:sz w:val="32"/>
          <w:szCs w:val="32"/>
        </w:rPr>
        <w:t>庄河市营商环境建设局</w:t>
      </w:r>
      <w:r>
        <w:rPr>
          <w:rFonts w:ascii="仿宋_GB2312" w:eastAsia="仿宋_GB2312" w:hint="eastAsia"/>
          <w:b/>
          <w:sz w:val="32"/>
          <w:szCs w:val="32"/>
        </w:rPr>
        <w:t>2021年度无国有资本经营预算财政拨款收入</w:t>
      </w:r>
      <w:r>
        <w:rPr>
          <w:rFonts w:ascii="仿宋_GB2312" w:eastAsia="仿宋_GB2312"/>
          <w:b/>
          <w:sz w:val="32"/>
          <w:szCs w:val="32"/>
        </w:rPr>
        <w:t>和</w:t>
      </w:r>
      <w:r>
        <w:rPr>
          <w:rFonts w:ascii="仿宋_GB2312" w:eastAsia="仿宋_GB2312" w:hint="eastAsia"/>
          <w:b/>
          <w:sz w:val="32"/>
          <w:szCs w:val="32"/>
        </w:rPr>
        <w:t>支出。</w:t>
      </w:r>
    </w:p>
    <w:p w:rsidR="000C3650" w:rsidRDefault="00350081">
      <w:pPr>
        <w:ind w:firstLineChars="200" w:firstLine="640"/>
        <w:outlineLvl w:val="0"/>
        <w:rPr>
          <w:rFonts w:ascii="黑体" w:eastAsia="黑体" w:hAnsi="黑体"/>
          <w:bCs/>
          <w:sz w:val="32"/>
          <w:szCs w:val="32"/>
        </w:rPr>
      </w:pPr>
      <w:r>
        <w:rPr>
          <w:rFonts w:ascii="黑体" w:eastAsia="黑体" w:hAnsi="黑体" w:hint="eastAsia"/>
          <w:bCs/>
          <w:sz w:val="32"/>
          <w:szCs w:val="32"/>
        </w:rPr>
        <w:t>十、其他重要事项的情况说明</w:t>
      </w:r>
    </w:p>
    <w:p w:rsidR="000C3650" w:rsidRDefault="00350081">
      <w:pPr>
        <w:ind w:firstLine="600"/>
        <w:outlineLvl w:val="0"/>
        <w:rPr>
          <w:rFonts w:ascii="楷体_GB2312" w:eastAsia="楷体_GB2312"/>
          <w:b/>
          <w:sz w:val="32"/>
          <w:szCs w:val="32"/>
        </w:rPr>
      </w:pPr>
      <w:r>
        <w:rPr>
          <w:rFonts w:ascii="楷体_GB2312" w:eastAsia="楷体_GB2312" w:hint="eastAsia"/>
          <w:b/>
          <w:sz w:val="32"/>
          <w:szCs w:val="32"/>
        </w:rPr>
        <w:lastRenderedPageBreak/>
        <w:t>（一）机关运行经费支出情况</w:t>
      </w:r>
    </w:p>
    <w:p w:rsidR="000C3650" w:rsidRDefault="00350081">
      <w:pPr>
        <w:ind w:firstLine="600"/>
        <w:rPr>
          <w:rFonts w:ascii="仿宋_GB2312" w:eastAsia="仿宋_GB2312"/>
          <w:b/>
          <w:sz w:val="32"/>
          <w:szCs w:val="32"/>
        </w:rPr>
      </w:pPr>
      <w:r>
        <w:rPr>
          <w:rFonts w:ascii="仿宋_GB2312" w:eastAsia="仿宋_GB2312" w:hint="eastAsia"/>
          <w:sz w:val="32"/>
          <w:szCs w:val="32"/>
        </w:rPr>
        <w:t>庄河市营商环境建设局2021年度机关运行经费支出69.94万元，比2020年度降低97.57万元，降低58.24%，主要原因：2020年政府雇员及劳务派遣人员工资在劳务费中列支，而2021年政府雇员及劳务派遣人员工资在其他工资福利支出中列支。</w:t>
      </w:r>
    </w:p>
    <w:p w:rsidR="000C3650" w:rsidRDefault="00350081">
      <w:pPr>
        <w:ind w:firstLineChars="200" w:firstLine="643"/>
        <w:outlineLvl w:val="0"/>
        <w:rPr>
          <w:rFonts w:ascii="楷体_GB2312" w:eastAsia="楷体_GB2312"/>
          <w:sz w:val="32"/>
          <w:szCs w:val="32"/>
        </w:rPr>
      </w:pPr>
      <w:r>
        <w:rPr>
          <w:rFonts w:ascii="楷体_GB2312" w:eastAsia="楷体_GB2312" w:hAnsi="宋体" w:cs="楷体" w:hint="eastAsia"/>
          <w:b/>
          <w:bCs/>
          <w:color w:val="000000"/>
          <w:sz w:val="32"/>
          <w:szCs w:val="32"/>
        </w:rPr>
        <w:t>（二）政府采购支出情况</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2021年度政府采购支出总额0万元，其中：政府采购货物支出0万元，政府采购工程支出0万元，政府采购服务支出0万元。授予中小企业合同金额0万元，占政府采购支出总额的0%，其中：授予小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合同金额0万元，占授予中小企业合同金额的0%；货物采购授予中小企业合同金额占货物支出金额的0%；工程采购授予中小企业合同金额占工程支出金额的0%；服务采购授予中小企业合同金额占服务支出金额的0%。</w:t>
      </w:r>
    </w:p>
    <w:p w:rsidR="000C3650" w:rsidRDefault="00350081">
      <w:pPr>
        <w:widowControl/>
        <w:ind w:firstLineChars="200" w:firstLine="643"/>
        <w:jc w:val="left"/>
        <w:outlineLvl w:val="0"/>
        <w:rPr>
          <w:rFonts w:ascii="楷体_GB2312" w:eastAsia="楷体_GB2312" w:hAnsi="宋体" w:cs="楷体"/>
          <w:b/>
          <w:bCs/>
          <w:kern w:val="0"/>
          <w:sz w:val="32"/>
          <w:szCs w:val="32"/>
        </w:rPr>
      </w:pPr>
      <w:r>
        <w:rPr>
          <w:rFonts w:ascii="楷体_GB2312" w:eastAsia="楷体_GB2312" w:hAnsi="宋体" w:cs="楷体" w:hint="eastAsia"/>
          <w:b/>
          <w:bCs/>
          <w:kern w:val="0"/>
          <w:sz w:val="32"/>
          <w:szCs w:val="32"/>
        </w:rPr>
        <w:t>（三）</w:t>
      </w:r>
      <w:r>
        <w:rPr>
          <w:rFonts w:ascii="楷体_GB2312" w:eastAsia="楷体_GB2312" w:hint="eastAsia"/>
          <w:b/>
          <w:sz w:val="32"/>
          <w:szCs w:val="32"/>
        </w:rPr>
        <w:t>国有资产占有使用情况说明</w:t>
      </w:r>
    </w:p>
    <w:p w:rsidR="000C3650" w:rsidRDefault="00350081">
      <w:pPr>
        <w:ind w:firstLine="602"/>
        <w:rPr>
          <w:rFonts w:ascii="仿宋_GB2312" w:eastAsia="仿宋_GB2312"/>
          <w:sz w:val="32"/>
          <w:szCs w:val="32"/>
        </w:rPr>
      </w:pPr>
      <w:r>
        <w:rPr>
          <w:rFonts w:ascii="仿宋_GB2312" w:eastAsia="仿宋_GB2312" w:hint="eastAsia"/>
          <w:sz w:val="32"/>
          <w:szCs w:val="32"/>
        </w:rPr>
        <w:t>截至2021年12月31日，部门（单位）共有车辆</w:t>
      </w:r>
      <w:r w:rsidR="00035EAA">
        <w:rPr>
          <w:rFonts w:ascii="仿宋_GB2312" w:eastAsia="仿宋_GB2312" w:hint="eastAsia"/>
          <w:sz w:val="32"/>
          <w:szCs w:val="32"/>
        </w:rPr>
        <w:t>1</w:t>
      </w:r>
      <w:r>
        <w:rPr>
          <w:rFonts w:ascii="仿宋_GB2312" w:eastAsia="仿宋_GB2312" w:hint="eastAsia"/>
          <w:sz w:val="32"/>
          <w:szCs w:val="32"/>
        </w:rPr>
        <w:t>辆，其中，副部（省）级以上领导用车0辆、主要领导干部用车0辆、机要通信用车0辆、应急保障用车1辆、执法执勤用车0辆、特种专业技术用车0辆、离退休干部用车0辆、其他用车0辆，其他用车主要是：无；单位价值50万元（含）以上通用设备0台（套）；单位价值100万元（含）以上专</w:t>
      </w:r>
      <w:r>
        <w:rPr>
          <w:rFonts w:ascii="仿宋_GB2312" w:eastAsia="仿宋_GB2312" w:hint="eastAsia"/>
          <w:sz w:val="32"/>
          <w:szCs w:val="32"/>
        </w:rPr>
        <w:lastRenderedPageBreak/>
        <w:t>用设备0台（套）。</w:t>
      </w:r>
    </w:p>
    <w:p w:rsidR="000C3650" w:rsidRDefault="00350081">
      <w:pPr>
        <w:ind w:firstLine="602"/>
        <w:rPr>
          <w:rFonts w:ascii="仿宋_GB2312" w:eastAsia="仿宋_GB2312"/>
          <w:sz w:val="32"/>
          <w:szCs w:val="32"/>
        </w:rPr>
      </w:pPr>
      <w:r>
        <w:rPr>
          <w:rFonts w:ascii="仿宋_GB2312" w:eastAsia="仿宋_GB2312" w:hint="eastAsia"/>
          <w:sz w:val="32"/>
          <w:szCs w:val="32"/>
        </w:rPr>
        <w:t>国有</w:t>
      </w:r>
      <w:r>
        <w:rPr>
          <w:rFonts w:ascii="仿宋_GB2312" w:eastAsia="仿宋_GB2312"/>
          <w:sz w:val="32"/>
          <w:szCs w:val="32"/>
        </w:rPr>
        <w:t>资产占有使用车辆总数</w:t>
      </w:r>
      <w:r>
        <w:rPr>
          <w:rFonts w:ascii="仿宋_GB2312" w:eastAsia="仿宋_GB2312" w:hint="eastAsia"/>
          <w:sz w:val="32"/>
          <w:szCs w:val="32"/>
        </w:rPr>
        <w:t>与公务用车</w:t>
      </w:r>
      <w:r>
        <w:rPr>
          <w:rFonts w:ascii="仿宋_GB2312" w:eastAsia="仿宋_GB2312"/>
          <w:sz w:val="32"/>
          <w:szCs w:val="32"/>
        </w:rPr>
        <w:t>保有量不一致的</w:t>
      </w:r>
      <w:r>
        <w:rPr>
          <w:rFonts w:ascii="仿宋_GB2312" w:eastAsia="仿宋_GB2312" w:hint="eastAsia"/>
          <w:sz w:val="32"/>
          <w:szCs w:val="32"/>
        </w:rPr>
        <w:t>主要</w:t>
      </w:r>
      <w:r>
        <w:rPr>
          <w:rFonts w:ascii="仿宋_GB2312" w:eastAsia="仿宋_GB2312"/>
          <w:sz w:val="32"/>
          <w:szCs w:val="32"/>
        </w:rPr>
        <w:t>原因是</w:t>
      </w:r>
      <w:r>
        <w:rPr>
          <w:rFonts w:ascii="仿宋_GB2312" w:eastAsia="仿宋_GB2312" w:hint="eastAsia"/>
          <w:sz w:val="32"/>
          <w:szCs w:val="32"/>
        </w:rPr>
        <w:t>:无。</w:t>
      </w:r>
    </w:p>
    <w:p w:rsidR="000C3650" w:rsidRDefault="00350081">
      <w:pPr>
        <w:widowControl/>
        <w:ind w:firstLineChars="200" w:firstLine="643"/>
        <w:jc w:val="left"/>
        <w:outlineLvl w:val="0"/>
        <w:rPr>
          <w:rFonts w:ascii="宋体" w:hAnsi="宋体" w:cs="宋体"/>
          <w:color w:val="000000"/>
          <w:kern w:val="0"/>
          <w:sz w:val="32"/>
          <w:szCs w:val="32"/>
        </w:rPr>
      </w:pPr>
      <w:r>
        <w:rPr>
          <w:rFonts w:ascii="楷体_GB2312" w:eastAsia="楷体_GB2312" w:hAnsi="宋体" w:cs="楷体" w:hint="eastAsia"/>
          <w:b/>
          <w:bCs/>
          <w:color w:val="000000"/>
          <w:kern w:val="0"/>
          <w:sz w:val="32"/>
          <w:szCs w:val="32"/>
        </w:rPr>
        <w:t>（四）预算绩效管理情况</w:t>
      </w:r>
    </w:p>
    <w:p w:rsidR="000C3650" w:rsidRDefault="00350081">
      <w:pPr>
        <w:spacing w:line="580" w:lineRule="exact"/>
        <w:ind w:firstLine="602"/>
        <w:rPr>
          <w:rFonts w:ascii="仿宋_GB2312" w:eastAsia="仿宋_GB2312"/>
          <w:sz w:val="32"/>
          <w:szCs w:val="32"/>
        </w:rPr>
      </w:pPr>
      <w:r>
        <w:rPr>
          <w:rFonts w:ascii="仿宋_GB2312" w:eastAsia="仿宋_GB2312" w:hint="eastAsia"/>
          <w:b/>
          <w:sz w:val="32"/>
          <w:szCs w:val="32"/>
        </w:rPr>
        <w:t>1.单位自评情况。</w:t>
      </w:r>
      <w:r>
        <w:rPr>
          <w:rFonts w:ascii="仿宋_GB2312" w:eastAsia="仿宋_GB2312" w:hint="eastAsia"/>
          <w:sz w:val="32"/>
          <w:szCs w:val="32"/>
        </w:rPr>
        <w:t>根据预算绩效管理要求，本部门组织所属单位对202</w:t>
      </w:r>
      <w:r>
        <w:rPr>
          <w:rFonts w:ascii="仿宋_GB2312" w:eastAsia="仿宋_GB2312"/>
          <w:sz w:val="32"/>
          <w:szCs w:val="32"/>
        </w:rPr>
        <w:t>1</w:t>
      </w:r>
      <w:r>
        <w:rPr>
          <w:rFonts w:ascii="仿宋_GB2312" w:eastAsia="仿宋_GB2312" w:hint="eastAsia"/>
          <w:sz w:val="32"/>
          <w:szCs w:val="32"/>
        </w:rPr>
        <w:t>年度预算项目支出全面开展绩效自评。</w:t>
      </w:r>
    </w:p>
    <w:p w:rsidR="000C3650" w:rsidRDefault="00350081">
      <w:pPr>
        <w:spacing w:line="580" w:lineRule="exact"/>
        <w:ind w:firstLine="600"/>
        <w:rPr>
          <w:rFonts w:ascii="仿宋_GB2312" w:eastAsia="仿宋_GB2312"/>
          <w:sz w:val="32"/>
          <w:szCs w:val="32"/>
        </w:rPr>
      </w:pPr>
      <w:r>
        <w:rPr>
          <w:rFonts w:ascii="仿宋_GB2312" w:eastAsia="仿宋_GB2312" w:hint="eastAsia"/>
          <w:sz w:val="32"/>
          <w:szCs w:val="32"/>
        </w:rPr>
        <w:t>从评价情况看，我局对预算资金做到了科学计划、合理安排，严格控制规范使用，专项经费专款专用。对专项经费适用范围、使用计划的制定，审批报账等方面做出了进一步的强调和明确。在人员增加、职能调整的情况下，及时反应，做好了经费追加，对经费运行进行了内部控制。做到了监管到位，把好使用源头关，把好签字审核关，把好支付与报账关。</w:t>
      </w:r>
    </w:p>
    <w:p w:rsidR="000C3650" w:rsidRDefault="00350081" w:rsidP="00220AAF">
      <w:pPr>
        <w:spacing w:line="360" w:lineRule="auto"/>
        <w:ind w:firstLineChars="200" w:firstLine="643"/>
        <w:jc w:val="left"/>
        <w:rPr>
          <w:rFonts w:ascii="仿宋_GB2312" w:eastAsia="仿宋_GB2312"/>
          <w:sz w:val="32"/>
          <w:szCs w:val="32"/>
        </w:rPr>
      </w:pPr>
      <w:r>
        <w:rPr>
          <w:rFonts w:ascii="仿宋_GB2312" w:eastAsia="仿宋_GB2312" w:hint="eastAsia"/>
          <w:b/>
          <w:sz w:val="32"/>
          <w:szCs w:val="32"/>
        </w:rPr>
        <w:t>2.部门评价情况。</w:t>
      </w:r>
      <w:r w:rsidR="00220AAF">
        <w:rPr>
          <w:rFonts w:ascii="仿宋_GB2312" w:eastAsia="仿宋_GB2312" w:hint="eastAsia"/>
          <w:sz w:val="32"/>
          <w:szCs w:val="32"/>
        </w:rPr>
        <w:t>为了加强部门财政支出绩效管理，规范管理，提高资金使用效益，采取现场核查的方法对</w:t>
      </w:r>
      <w:r w:rsidR="00A853ED">
        <w:rPr>
          <w:rFonts w:ascii="仿宋_GB2312" w:eastAsia="仿宋_GB2312" w:hint="eastAsia"/>
          <w:sz w:val="32"/>
          <w:szCs w:val="32"/>
        </w:rPr>
        <w:t>我局</w:t>
      </w:r>
      <w:r w:rsidR="00220AAF">
        <w:rPr>
          <w:rFonts w:ascii="仿宋_GB2312" w:eastAsia="仿宋_GB2312" w:hint="eastAsia"/>
          <w:sz w:val="32"/>
          <w:szCs w:val="32"/>
        </w:rPr>
        <w:t>整体决算开展评价工作。其中一级指标为共性指标10%</w:t>
      </w:r>
      <w:r w:rsidR="00A853ED">
        <w:rPr>
          <w:rFonts w:ascii="仿宋_GB2312" w:eastAsia="仿宋_GB2312" w:hint="eastAsia"/>
          <w:sz w:val="32"/>
          <w:szCs w:val="32"/>
        </w:rPr>
        <w:t>、</w:t>
      </w:r>
      <w:r w:rsidR="00220AAF">
        <w:rPr>
          <w:rFonts w:ascii="仿宋_GB2312" w:eastAsia="仿宋_GB2312" w:hint="eastAsia"/>
          <w:sz w:val="32"/>
          <w:szCs w:val="32"/>
        </w:rPr>
        <w:t>产出指标50%</w:t>
      </w:r>
      <w:r w:rsidR="00A853ED">
        <w:rPr>
          <w:rFonts w:ascii="仿宋_GB2312" w:eastAsia="仿宋_GB2312" w:hint="eastAsia"/>
          <w:sz w:val="32"/>
          <w:szCs w:val="32"/>
        </w:rPr>
        <w:t>、</w:t>
      </w:r>
      <w:r w:rsidR="00220AAF">
        <w:rPr>
          <w:rFonts w:ascii="仿宋_GB2312" w:eastAsia="仿宋_GB2312" w:hint="eastAsia"/>
          <w:sz w:val="32"/>
          <w:szCs w:val="32"/>
        </w:rPr>
        <w:t>效益指标30%</w:t>
      </w:r>
      <w:r w:rsidR="00A853ED">
        <w:rPr>
          <w:rFonts w:ascii="仿宋_GB2312" w:eastAsia="仿宋_GB2312" w:hint="eastAsia"/>
          <w:sz w:val="32"/>
          <w:szCs w:val="32"/>
        </w:rPr>
        <w:t>、</w:t>
      </w:r>
      <w:r w:rsidR="00220AAF">
        <w:rPr>
          <w:rFonts w:ascii="仿宋_GB2312" w:eastAsia="仿宋_GB2312" w:hint="eastAsia"/>
          <w:sz w:val="32"/>
          <w:szCs w:val="32"/>
        </w:rPr>
        <w:t>满意度指标10%</w:t>
      </w:r>
      <w:r w:rsidR="00A853ED">
        <w:rPr>
          <w:rFonts w:ascii="仿宋_GB2312" w:eastAsia="仿宋_GB2312" w:hint="eastAsia"/>
          <w:sz w:val="32"/>
          <w:szCs w:val="32"/>
        </w:rPr>
        <w:t>、</w:t>
      </w:r>
      <w:r w:rsidR="00220AAF">
        <w:rPr>
          <w:rFonts w:ascii="仿宋_GB2312" w:eastAsia="仿宋_GB2312" w:hint="eastAsia"/>
          <w:sz w:val="32"/>
          <w:szCs w:val="32"/>
        </w:rPr>
        <w:t>并从预算管理、数量指标、质量指标、时效指标、社会效益指标、服务对象满意度</w:t>
      </w:r>
      <w:proofErr w:type="gramStart"/>
      <w:r w:rsidR="00220AAF">
        <w:rPr>
          <w:rFonts w:ascii="仿宋_GB2312" w:eastAsia="仿宋_GB2312" w:hint="eastAsia"/>
          <w:sz w:val="32"/>
          <w:szCs w:val="32"/>
        </w:rPr>
        <w:t>指标指标</w:t>
      </w:r>
      <w:proofErr w:type="gramEnd"/>
      <w:r w:rsidR="00220AAF">
        <w:rPr>
          <w:rFonts w:ascii="仿宋_GB2312" w:eastAsia="仿宋_GB2312" w:hint="eastAsia"/>
          <w:sz w:val="32"/>
          <w:szCs w:val="32"/>
        </w:rPr>
        <w:t>进行评价。通过各项工作目标和部门总体目标。经综合评定，整体支出绩效评价良好。</w:t>
      </w:r>
    </w:p>
    <w:p w:rsidR="000C3650" w:rsidRDefault="000C3650">
      <w:pPr>
        <w:spacing w:line="580" w:lineRule="exact"/>
        <w:ind w:firstLine="602"/>
        <w:rPr>
          <w:rFonts w:ascii="仿宋_GB2312" w:eastAsia="仿宋_GB2312"/>
          <w:sz w:val="30"/>
          <w:szCs w:val="30"/>
        </w:rPr>
      </w:pPr>
    </w:p>
    <w:p w:rsidR="00B0370B" w:rsidRDefault="00B0370B">
      <w:pPr>
        <w:spacing w:line="580" w:lineRule="exact"/>
        <w:ind w:firstLine="602"/>
        <w:rPr>
          <w:rFonts w:ascii="仿宋_GB2312" w:eastAsia="仿宋_GB2312"/>
          <w:sz w:val="30"/>
          <w:szCs w:val="30"/>
        </w:rPr>
      </w:pPr>
    </w:p>
    <w:p w:rsidR="000C3650" w:rsidRDefault="000C3650">
      <w:pPr>
        <w:spacing w:line="580" w:lineRule="exact"/>
        <w:ind w:firstLine="602"/>
        <w:rPr>
          <w:rFonts w:ascii="仿宋_GB2312" w:eastAsia="仿宋_GB2312"/>
          <w:sz w:val="30"/>
          <w:szCs w:val="30"/>
        </w:rPr>
      </w:pPr>
    </w:p>
    <w:tbl>
      <w:tblPr>
        <w:tblW w:w="8647" w:type="dxa"/>
        <w:tblInd w:w="-34" w:type="dxa"/>
        <w:tblLook w:val="0000"/>
      </w:tblPr>
      <w:tblGrid>
        <w:gridCol w:w="1418"/>
        <w:gridCol w:w="1276"/>
        <w:gridCol w:w="1417"/>
        <w:gridCol w:w="1418"/>
        <w:gridCol w:w="1417"/>
        <w:gridCol w:w="851"/>
        <w:gridCol w:w="850"/>
      </w:tblGrid>
      <w:tr w:rsidR="000C3650">
        <w:trPr>
          <w:trHeight w:val="469"/>
        </w:trPr>
        <w:tc>
          <w:tcPr>
            <w:tcW w:w="8647" w:type="dxa"/>
            <w:gridSpan w:val="7"/>
            <w:tcBorders>
              <w:top w:val="nil"/>
              <w:left w:val="nil"/>
              <w:bottom w:val="nil"/>
              <w:right w:val="nil"/>
            </w:tcBorders>
            <w:noWrap/>
            <w:vAlign w:val="center"/>
          </w:tcPr>
          <w:p w:rsidR="000C3650" w:rsidRDefault="00350081">
            <w:pPr>
              <w:widowControl/>
              <w:jc w:val="center"/>
              <w:rPr>
                <w:rFonts w:ascii="宋体" w:hAnsi="宋体" w:cs="Arial"/>
                <w:b/>
                <w:bCs/>
                <w:kern w:val="0"/>
                <w:sz w:val="30"/>
                <w:szCs w:val="30"/>
              </w:rPr>
            </w:pPr>
            <w:r>
              <w:rPr>
                <w:rFonts w:ascii="宋体" w:hAnsi="宋体" w:cs="Arial" w:hint="eastAsia"/>
                <w:b/>
                <w:bCs/>
                <w:kern w:val="0"/>
                <w:sz w:val="30"/>
                <w:szCs w:val="30"/>
              </w:rPr>
              <w:lastRenderedPageBreak/>
              <w:t>本级预算项目绩效自评表</w:t>
            </w:r>
          </w:p>
        </w:tc>
      </w:tr>
      <w:tr w:rsidR="000C3650">
        <w:trPr>
          <w:trHeight w:val="289"/>
        </w:trPr>
        <w:tc>
          <w:tcPr>
            <w:tcW w:w="8647" w:type="dxa"/>
            <w:gridSpan w:val="7"/>
            <w:tcBorders>
              <w:top w:val="nil"/>
              <w:left w:val="nil"/>
              <w:bottom w:val="nil"/>
              <w:right w:val="nil"/>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（202</w:t>
            </w:r>
            <w:r>
              <w:rPr>
                <w:rFonts w:ascii="宋体" w:hAnsi="宋体" w:cs="Arial"/>
                <w:kern w:val="0"/>
                <w:szCs w:val="21"/>
              </w:rPr>
              <w:t>1</w:t>
            </w:r>
            <w:r>
              <w:rPr>
                <w:rFonts w:ascii="宋体" w:hAnsi="宋体" w:cs="Arial" w:hint="eastAsia"/>
                <w:kern w:val="0"/>
                <w:szCs w:val="21"/>
              </w:rPr>
              <w:t>年）</w:t>
            </w:r>
          </w:p>
        </w:tc>
      </w:tr>
      <w:tr w:rsidR="000C3650">
        <w:trPr>
          <w:trHeight w:val="614"/>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项目名称</w:t>
            </w:r>
          </w:p>
        </w:tc>
        <w:tc>
          <w:tcPr>
            <w:tcW w:w="2693" w:type="dxa"/>
            <w:gridSpan w:val="2"/>
            <w:tcBorders>
              <w:top w:val="single" w:sz="4" w:space="0" w:color="auto"/>
              <w:left w:val="nil"/>
              <w:bottom w:val="single" w:sz="4" w:space="0" w:color="auto"/>
              <w:right w:val="single" w:sz="4" w:space="0" w:color="000000"/>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4名代办员工资及保险　</w:t>
            </w:r>
          </w:p>
        </w:tc>
        <w:tc>
          <w:tcPr>
            <w:tcW w:w="1418" w:type="dxa"/>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实施期限</w:t>
            </w:r>
          </w:p>
        </w:tc>
        <w:tc>
          <w:tcPr>
            <w:tcW w:w="3118" w:type="dxa"/>
            <w:gridSpan w:val="3"/>
            <w:tcBorders>
              <w:top w:val="single" w:sz="4" w:space="0" w:color="auto"/>
              <w:left w:val="nil"/>
              <w:bottom w:val="single" w:sz="4" w:space="0" w:color="auto"/>
              <w:right w:val="single" w:sz="4" w:space="0" w:color="000000"/>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2021/1/1-2021/12/31　</w:t>
            </w:r>
          </w:p>
        </w:tc>
      </w:tr>
      <w:tr w:rsidR="000C3650">
        <w:trPr>
          <w:trHeight w:val="549"/>
        </w:trPr>
        <w:tc>
          <w:tcPr>
            <w:tcW w:w="1418" w:type="dxa"/>
            <w:tcBorders>
              <w:top w:val="nil"/>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主管部门</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庄河市营商环境建设局　</w:t>
            </w:r>
          </w:p>
        </w:tc>
        <w:tc>
          <w:tcPr>
            <w:tcW w:w="1418" w:type="dxa"/>
            <w:tcBorders>
              <w:top w:val="nil"/>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实施单位</w:t>
            </w:r>
          </w:p>
        </w:tc>
        <w:tc>
          <w:tcPr>
            <w:tcW w:w="3118" w:type="dxa"/>
            <w:gridSpan w:val="3"/>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庄河市营商环境建设局　</w:t>
            </w:r>
          </w:p>
        </w:tc>
      </w:tr>
      <w:tr w:rsidR="000C3650">
        <w:trPr>
          <w:trHeight w:val="402"/>
        </w:trPr>
        <w:tc>
          <w:tcPr>
            <w:tcW w:w="1418" w:type="dxa"/>
            <w:vMerge w:val="restart"/>
            <w:tcBorders>
              <w:top w:val="nil"/>
              <w:left w:val="single" w:sz="4" w:space="0" w:color="auto"/>
              <w:bottom w:val="single" w:sz="4" w:space="0" w:color="000000"/>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资金投入</w:t>
            </w:r>
          </w:p>
          <w:p w:rsidR="000C3650" w:rsidRDefault="00350081">
            <w:pPr>
              <w:widowControl/>
              <w:jc w:val="center"/>
              <w:rPr>
                <w:rFonts w:ascii="宋体" w:hAnsi="宋体" w:cs="Arial"/>
                <w:kern w:val="0"/>
                <w:szCs w:val="21"/>
              </w:rPr>
            </w:pPr>
            <w:r>
              <w:rPr>
                <w:rFonts w:ascii="宋体" w:hAnsi="宋体" w:cs="Arial" w:hint="eastAsia"/>
                <w:kern w:val="0"/>
                <w:szCs w:val="21"/>
              </w:rPr>
              <w:t>（万元）</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年初预算数</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22.5</w:t>
            </w:r>
          </w:p>
        </w:tc>
      </w:tr>
      <w:tr w:rsidR="000C3650">
        <w:trPr>
          <w:trHeight w:val="402"/>
        </w:trPr>
        <w:tc>
          <w:tcPr>
            <w:tcW w:w="1418" w:type="dxa"/>
            <w:vMerge/>
            <w:tcBorders>
              <w:top w:val="nil"/>
              <w:left w:val="single" w:sz="4" w:space="0" w:color="auto"/>
              <w:bottom w:val="single" w:sz="4" w:space="0" w:color="000000"/>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全年预算数</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22.5　</w:t>
            </w:r>
          </w:p>
        </w:tc>
      </w:tr>
      <w:tr w:rsidR="000C3650">
        <w:trPr>
          <w:trHeight w:val="402"/>
        </w:trPr>
        <w:tc>
          <w:tcPr>
            <w:tcW w:w="1418" w:type="dxa"/>
            <w:vMerge/>
            <w:tcBorders>
              <w:top w:val="nil"/>
              <w:left w:val="single" w:sz="4" w:space="0" w:color="auto"/>
              <w:bottom w:val="single" w:sz="4" w:space="0" w:color="000000"/>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预算执行数</w:t>
            </w:r>
          </w:p>
        </w:tc>
        <w:tc>
          <w:tcPr>
            <w:tcW w:w="4536" w:type="dxa"/>
            <w:gridSpan w:val="4"/>
            <w:tcBorders>
              <w:top w:val="single" w:sz="4" w:space="0" w:color="auto"/>
              <w:left w:val="nil"/>
              <w:bottom w:val="single" w:sz="4" w:space="0" w:color="auto"/>
              <w:right w:val="single" w:sz="4" w:space="0" w:color="000000"/>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w:t>
            </w:r>
            <w:r w:rsidR="004F12D8">
              <w:rPr>
                <w:rFonts w:ascii="宋体" w:hAnsi="宋体" w:cs="Arial" w:hint="eastAsia"/>
                <w:kern w:val="0"/>
                <w:szCs w:val="21"/>
              </w:rPr>
              <w:t xml:space="preserve"> </w:t>
            </w:r>
            <w:r>
              <w:rPr>
                <w:rFonts w:ascii="宋体" w:hAnsi="宋体" w:cs="Arial" w:hint="eastAsia"/>
                <w:kern w:val="0"/>
                <w:szCs w:val="21"/>
              </w:rPr>
              <w:t xml:space="preserve">22.5　</w:t>
            </w:r>
          </w:p>
        </w:tc>
      </w:tr>
      <w:tr w:rsidR="000C3650">
        <w:trPr>
          <w:trHeight w:val="402"/>
        </w:trPr>
        <w:tc>
          <w:tcPr>
            <w:tcW w:w="1418" w:type="dxa"/>
            <w:vMerge w:val="restart"/>
            <w:tcBorders>
              <w:top w:val="nil"/>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绩效目标</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年度目标</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实际完成情况</w:t>
            </w:r>
          </w:p>
        </w:tc>
      </w:tr>
      <w:tr w:rsidR="000C3650">
        <w:trPr>
          <w:trHeight w:val="1451"/>
        </w:trPr>
        <w:tc>
          <w:tcPr>
            <w:tcW w:w="1418" w:type="dxa"/>
            <w:vMerge/>
            <w:tcBorders>
              <w:top w:val="nil"/>
              <w:left w:val="single" w:sz="4" w:space="0" w:color="auto"/>
              <w:bottom w:val="single" w:sz="4" w:space="0" w:color="auto"/>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保证4名代办员工资及保险及时足额发放　</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完成全年工资发放及保险缴纳。</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一级指标</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二级指标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三级指标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年度指标值</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实际完成值</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权重</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得分</w:t>
            </w:r>
          </w:p>
        </w:tc>
      </w:tr>
      <w:tr w:rsidR="000C3650">
        <w:trPr>
          <w:trHeight w:val="692"/>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共性指标</w:t>
            </w:r>
          </w:p>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（10分）</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预算管理</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资金到位率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22.5</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5</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3650" w:rsidRDefault="000C3650">
            <w:pPr>
              <w:jc w:val="center"/>
              <w:rPr>
                <w:rFonts w:ascii="宋体" w:hAnsi="宋体" w:cs="宋体"/>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预算执行率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22.5</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r>
      <w:tr w:rsidR="000C3650">
        <w:trPr>
          <w:trHeight w:val="692"/>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产出指标</w:t>
            </w:r>
          </w:p>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数量指标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经费使用准确率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质量指标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项目完成率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时效指标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政府采购规范性</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w:t>
            </w:r>
            <w:proofErr w:type="gramStart"/>
            <w:r>
              <w:rPr>
                <w:rFonts w:ascii="宋体" w:hAnsi="宋体" w:cs="宋体" w:hint="eastAsia"/>
                <w:color w:val="000000"/>
                <w:kern w:val="0"/>
                <w:sz w:val="24"/>
                <w:szCs w:val="24"/>
              </w:rPr>
              <w:t>规</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w:t>
            </w:r>
            <w:proofErr w:type="gramStart"/>
            <w:r>
              <w:rPr>
                <w:rFonts w:ascii="宋体" w:hAnsi="宋体" w:cs="宋体" w:hint="eastAsia"/>
                <w:color w:val="000000"/>
                <w:kern w:val="0"/>
                <w:sz w:val="24"/>
                <w:szCs w:val="24"/>
              </w:rPr>
              <w:t>规</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效益指标（30分）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社会效益指标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营商环境建设情况</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有效改善</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有效改善</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28</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满意度指标</w:t>
            </w:r>
          </w:p>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服务对象满意度指标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政策知晓率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逐步提升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逐步提升</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9</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总计</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734051">
            <w:pPr>
              <w:jc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97</w:t>
            </w:r>
          </w:p>
        </w:tc>
      </w:tr>
    </w:tbl>
    <w:p w:rsidR="000C3650" w:rsidRDefault="000C3650">
      <w:pPr>
        <w:jc w:val="center"/>
        <w:rPr>
          <w:rFonts w:ascii="黑体" w:eastAsia="黑体"/>
          <w:sz w:val="30"/>
          <w:szCs w:val="30"/>
        </w:rPr>
      </w:pPr>
    </w:p>
    <w:p w:rsidR="000C3650" w:rsidRDefault="000C3650">
      <w:pPr>
        <w:jc w:val="center"/>
        <w:rPr>
          <w:rFonts w:ascii="黑体" w:eastAsia="黑体"/>
          <w:sz w:val="30"/>
          <w:szCs w:val="30"/>
        </w:rPr>
      </w:pPr>
    </w:p>
    <w:p w:rsidR="000C3650" w:rsidRDefault="000C3650">
      <w:pPr>
        <w:jc w:val="center"/>
        <w:rPr>
          <w:rFonts w:ascii="黑体" w:eastAsia="黑体"/>
          <w:sz w:val="30"/>
          <w:szCs w:val="30"/>
        </w:rPr>
      </w:pPr>
    </w:p>
    <w:tbl>
      <w:tblPr>
        <w:tblW w:w="8647" w:type="dxa"/>
        <w:tblInd w:w="-34" w:type="dxa"/>
        <w:tblLook w:val="0000"/>
      </w:tblPr>
      <w:tblGrid>
        <w:gridCol w:w="1418"/>
        <w:gridCol w:w="1276"/>
        <w:gridCol w:w="1417"/>
        <w:gridCol w:w="1418"/>
        <w:gridCol w:w="1417"/>
        <w:gridCol w:w="851"/>
        <w:gridCol w:w="850"/>
      </w:tblGrid>
      <w:tr w:rsidR="000C3650">
        <w:trPr>
          <w:trHeight w:val="469"/>
        </w:trPr>
        <w:tc>
          <w:tcPr>
            <w:tcW w:w="8647" w:type="dxa"/>
            <w:gridSpan w:val="7"/>
            <w:tcBorders>
              <w:top w:val="nil"/>
              <w:left w:val="nil"/>
              <w:bottom w:val="nil"/>
              <w:right w:val="nil"/>
            </w:tcBorders>
            <w:noWrap/>
            <w:vAlign w:val="center"/>
          </w:tcPr>
          <w:p w:rsidR="000C3650" w:rsidRDefault="00350081">
            <w:pPr>
              <w:widowControl/>
              <w:jc w:val="center"/>
              <w:rPr>
                <w:rFonts w:ascii="宋体" w:hAnsi="宋体" w:cs="Arial"/>
                <w:b/>
                <w:bCs/>
                <w:kern w:val="0"/>
                <w:sz w:val="30"/>
                <w:szCs w:val="30"/>
              </w:rPr>
            </w:pPr>
            <w:r>
              <w:rPr>
                <w:rFonts w:ascii="宋体" w:hAnsi="宋体" w:cs="Arial" w:hint="eastAsia"/>
                <w:b/>
                <w:bCs/>
                <w:kern w:val="0"/>
                <w:sz w:val="30"/>
                <w:szCs w:val="30"/>
              </w:rPr>
              <w:lastRenderedPageBreak/>
              <w:t>本级预算项目绩效自评表</w:t>
            </w:r>
          </w:p>
        </w:tc>
      </w:tr>
      <w:tr w:rsidR="000C3650">
        <w:trPr>
          <w:trHeight w:val="289"/>
        </w:trPr>
        <w:tc>
          <w:tcPr>
            <w:tcW w:w="8647" w:type="dxa"/>
            <w:gridSpan w:val="7"/>
            <w:tcBorders>
              <w:top w:val="nil"/>
              <w:left w:val="nil"/>
              <w:bottom w:val="nil"/>
              <w:right w:val="nil"/>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（202</w:t>
            </w:r>
            <w:r>
              <w:rPr>
                <w:rFonts w:ascii="宋体" w:hAnsi="宋体" w:cs="Arial"/>
                <w:kern w:val="0"/>
                <w:szCs w:val="21"/>
              </w:rPr>
              <w:t>1</w:t>
            </w:r>
            <w:r>
              <w:rPr>
                <w:rFonts w:ascii="宋体" w:hAnsi="宋体" w:cs="Arial" w:hint="eastAsia"/>
                <w:kern w:val="0"/>
                <w:szCs w:val="21"/>
              </w:rPr>
              <w:t>年）</w:t>
            </w:r>
          </w:p>
        </w:tc>
      </w:tr>
      <w:tr w:rsidR="000C3650">
        <w:trPr>
          <w:trHeight w:val="614"/>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项目名称</w:t>
            </w:r>
          </w:p>
        </w:tc>
        <w:tc>
          <w:tcPr>
            <w:tcW w:w="2693" w:type="dxa"/>
            <w:gridSpan w:val="2"/>
            <w:tcBorders>
              <w:top w:val="single" w:sz="4" w:space="0" w:color="auto"/>
              <w:left w:val="nil"/>
              <w:bottom w:val="single" w:sz="4" w:space="0" w:color="auto"/>
              <w:right w:val="single" w:sz="4" w:space="0" w:color="000000"/>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15名雇员工资及保险　</w:t>
            </w:r>
          </w:p>
        </w:tc>
        <w:tc>
          <w:tcPr>
            <w:tcW w:w="1418" w:type="dxa"/>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实施期限</w:t>
            </w:r>
          </w:p>
        </w:tc>
        <w:tc>
          <w:tcPr>
            <w:tcW w:w="3118" w:type="dxa"/>
            <w:gridSpan w:val="3"/>
            <w:tcBorders>
              <w:top w:val="single" w:sz="4" w:space="0" w:color="auto"/>
              <w:left w:val="nil"/>
              <w:bottom w:val="single" w:sz="4" w:space="0" w:color="auto"/>
              <w:right w:val="single" w:sz="4" w:space="0" w:color="000000"/>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2021/1/1-2021/12/31　</w:t>
            </w:r>
          </w:p>
        </w:tc>
      </w:tr>
      <w:tr w:rsidR="000C3650">
        <w:trPr>
          <w:trHeight w:val="549"/>
        </w:trPr>
        <w:tc>
          <w:tcPr>
            <w:tcW w:w="1418" w:type="dxa"/>
            <w:tcBorders>
              <w:top w:val="nil"/>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主管部门</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庄河市营商环境建设局　</w:t>
            </w:r>
          </w:p>
        </w:tc>
        <w:tc>
          <w:tcPr>
            <w:tcW w:w="1418" w:type="dxa"/>
            <w:tcBorders>
              <w:top w:val="nil"/>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实施单位</w:t>
            </w:r>
          </w:p>
        </w:tc>
        <w:tc>
          <w:tcPr>
            <w:tcW w:w="3118" w:type="dxa"/>
            <w:gridSpan w:val="3"/>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庄河市营商环境建设局　</w:t>
            </w:r>
          </w:p>
        </w:tc>
      </w:tr>
      <w:tr w:rsidR="000C3650">
        <w:trPr>
          <w:trHeight w:val="402"/>
        </w:trPr>
        <w:tc>
          <w:tcPr>
            <w:tcW w:w="1418" w:type="dxa"/>
            <w:vMerge w:val="restart"/>
            <w:tcBorders>
              <w:top w:val="nil"/>
              <w:left w:val="single" w:sz="4" w:space="0" w:color="auto"/>
              <w:bottom w:val="single" w:sz="4" w:space="0" w:color="000000"/>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资金投入</w:t>
            </w:r>
          </w:p>
          <w:p w:rsidR="000C3650" w:rsidRDefault="00350081">
            <w:pPr>
              <w:widowControl/>
              <w:jc w:val="center"/>
              <w:rPr>
                <w:rFonts w:ascii="宋体" w:hAnsi="宋体" w:cs="Arial"/>
                <w:kern w:val="0"/>
                <w:szCs w:val="21"/>
              </w:rPr>
            </w:pPr>
            <w:r>
              <w:rPr>
                <w:rFonts w:ascii="宋体" w:hAnsi="宋体" w:cs="Arial" w:hint="eastAsia"/>
                <w:kern w:val="0"/>
                <w:szCs w:val="21"/>
              </w:rPr>
              <w:t>（万元）</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年初预算数</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84.5</w:t>
            </w:r>
          </w:p>
        </w:tc>
      </w:tr>
      <w:tr w:rsidR="000C3650">
        <w:trPr>
          <w:trHeight w:val="402"/>
        </w:trPr>
        <w:tc>
          <w:tcPr>
            <w:tcW w:w="1418" w:type="dxa"/>
            <w:vMerge/>
            <w:tcBorders>
              <w:top w:val="nil"/>
              <w:left w:val="single" w:sz="4" w:space="0" w:color="auto"/>
              <w:bottom w:val="single" w:sz="4" w:space="0" w:color="000000"/>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全年预算数</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84.5　</w:t>
            </w:r>
          </w:p>
        </w:tc>
      </w:tr>
      <w:tr w:rsidR="000C3650">
        <w:trPr>
          <w:trHeight w:val="402"/>
        </w:trPr>
        <w:tc>
          <w:tcPr>
            <w:tcW w:w="1418" w:type="dxa"/>
            <w:vMerge/>
            <w:tcBorders>
              <w:top w:val="nil"/>
              <w:left w:val="single" w:sz="4" w:space="0" w:color="auto"/>
              <w:bottom w:val="single" w:sz="4" w:space="0" w:color="000000"/>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预算执行数</w:t>
            </w:r>
          </w:p>
        </w:tc>
        <w:tc>
          <w:tcPr>
            <w:tcW w:w="4536" w:type="dxa"/>
            <w:gridSpan w:val="4"/>
            <w:tcBorders>
              <w:top w:val="single" w:sz="4" w:space="0" w:color="auto"/>
              <w:left w:val="nil"/>
              <w:bottom w:val="single" w:sz="4" w:space="0" w:color="auto"/>
              <w:right w:val="single" w:sz="4" w:space="0" w:color="000000"/>
            </w:tcBorders>
            <w:noWrap/>
            <w:vAlign w:val="center"/>
          </w:tcPr>
          <w:p w:rsidR="000C3650" w:rsidRDefault="00391F40">
            <w:pPr>
              <w:widowControl/>
              <w:jc w:val="center"/>
              <w:rPr>
                <w:rFonts w:ascii="宋体" w:hAnsi="宋体" w:cs="Arial"/>
                <w:kern w:val="0"/>
                <w:szCs w:val="21"/>
              </w:rPr>
            </w:pPr>
            <w:r>
              <w:rPr>
                <w:rFonts w:ascii="宋体" w:hAnsi="宋体" w:cs="Arial" w:hint="eastAsia"/>
                <w:kern w:val="0"/>
                <w:szCs w:val="21"/>
              </w:rPr>
              <w:t xml:space="preserve"> </w:t>
            </w:r>
            <w:r w:rsidR="00350081">
              <w:rPr>
                <w:rFonts w:ascii="宋体" w:hAnsi="宋体" w:cs="Arial" w:hint="eastAsia"/>
                <w:kern w:val="0"/>
                <w:szCs w:val="21"/>
              </w:rPr>
              <w:t xml:space="preserve"> 84.5</w:t>
            </w:r>
          </w:p>
        </w:tc>
      </w:tr>
      <w:tr w:rsidR="000C3650">
        <w:trPr>
          <w:trHeight w:val="402"/>
        </w:trPr>
        <w:tc>
          <w:tcPr>
            <w:tcW w:w="1418" w:type="dxa"/>
            <w:vMerge w:val="restart"/>
            <w:tcBorders>
              <w:top w:val="nil"/>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绩效目标</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年度目标</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实际完成情况</w:t>
            </w:r>
          </w:p>
        </w:tc>
      </w:tr>
      <w:tr w:rsidR="000C3650">
        <w:trPr>
          <w:trHeight w:val="1451"/>
        </w:trPr>
        <w:tc>
          <w:tcPr>
            <w:tcW w:w="1418" w:type="dxa"/>
            <w:vMerge/>
            <w:tcBorders>
              <w:top w:val="nil"/>
              <w:left w:val="single" w:sz="4" w:space="0" w:color="auto"/>
              <w:bottom w:val="single" w:sz="4" w:space="0" w:color="auto"/>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保证15名雇员工资及保险按时发放。　</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完成全年工资发放及保险缴纳。</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一级指标</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二级指标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三级指标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年度指标值</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实际完成值</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权重</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得分</w:t>
            </w:r>
          </w:p>
        </w:tc>
      </w:tr>
      <w:tr w:rsidR="000C3650">
        <w:trPr>
          <w:trHeight w:val="692"/>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共性指标</w:t>
            </w:r>
          </w:p>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（10分）</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预算管理</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资金到位率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22.5</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5</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3650" w:rsidRDefault="000C3650">
            <w:pPr>
              <w:jc w:val="center"/>
              <w:rPr>
                <w:rFonts w:ascii="宋体" w:hAnsi="宋体" w:cs="宋体"/>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预算执行率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22.5</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r>
      <w:tr w:rsidR="000C3650">
        <w:trPr>
          <w:trHeight w:val="692"/>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产出指标</w:t>
            </w:r>
          </w:p>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数量指标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经费使用准确率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质量指标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项目完成率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时效指标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政府采购规范性</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w:t>
            </w:r>
            <w:proofErr w:type="gramStart"/>
            <w:r>
              <w:rPr>
                <w:rFonts w:ascii="宋体" w:hAnsi="宋体" w:cs="宋体" w:hint="eastAsia"/>
                <w:color w:val="000000"/>
                <w:kern w:val="0"/>
                <w:sz w:val="24"/>
                <w:szCs w:val="24"/>
              </w:rPr>
              <w:t>规</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w:t>
            </w:r>
            <w:proofErr w:type="gramStart"/>
            <w:r>
              <w:rPr>
                <w:rFonts w:ascii="宋体" w:hAnsi="宋体" w:cs="宋体" w:hint="eastAsia"/>
                <w:color w:val="000000"/>
                <w:kern w:val="0"/>
                <w:sz w:val="24"/>
                <w:szCs w:val="24"/>
              </w:rPr>
              <w:t>规</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效益指标（30分）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社会效益指标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营商环境建设情况</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有效改善</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有效改善</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28</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满意度指标</w:t>
            </w:r>
          </w:p>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服务对象满意度指标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政策知晓率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逐步提升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逐步提升</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9</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总计</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FE0CEF">
            <w:pPr>
              <w:jc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97</w:t>
            </w:r>
          </w:p>
        </w:tc>
      </w:tr>
    </w:tbl>
    <w:p w:rsidR="000C3650" w:rsidRDefault="000C3650">
      <w:pPr>
        <w:jc w:val="center"/>
        <w:rPr>
          <w:rFonts w:ascii="黑体" w:eastAsia="黑体"/>
          <w:sz w:val="30"/>
          <w:szCs w:val="30"/>
        </w:rPr>
      </w:pPr>
    </w:p>
    <w:p w:rsidR="000C3650" w:rsidRDefault="000C3650">
      <w:pPr>
        <w:jc w:val="center"/>
        <w:rPr>
          <w:rFonts w:ascii="黑体" w:eastAsia="黑体"/>
          <w:sz w:val="30"/>
          <w:szCs w:val="30"/>
        </w:rPr>
      </w:pPr>
    </w:p>
    <w:p w:rsidR="000C3650" w:rsidRDefault="000C3650">
      <w:pPr>
        <w:jc w:val="center"/>
        <w:rPr>
          <w:rFonts w:ascii="黑体" w:eastAsia="黑体"/>
          <w:sz w:val="30"/>
          <w:szCs w:val="30"/>
        </w:rPr>
      </w:pPr>
    </w:p>
    <w:tbl>
      <w:tblPr>
        <w:tblW w:w="8647" w:type="dxa"/>
        <w:tblInd w:w="-34" w:type="dxa"/>
        <w:tblLook w:val="0000"/>
      </w:tblPr>
      <w:tblGrid>
        <w:gridCol w:w="1418"/>
        <w:gridCol w:w="1276"/>
        <w:gridCol w:w="1417"/>
        <w:gridCol w:w="1418"/>
        <w:gridCol w:w="1417"/>
        <w:gridCol w:w="851"/>
        <w:gridCol w:w="850"/>
      </w:tblGrid>
      <w:tr w:rsidR="000C3650">
        <w:trPr>
          <w:trHeight w:val="469"/>
        </w:trPr>
        <w:tc>
          <w:tcPr>
            <w:tcW w:w="8647" w:type="dxa"/>
            <w:gridSpan w:val="7"/>
            <w:tcBorders>
              <w:top w:val="nil"/>
              <w:left w:val="nil"/>
              <w:bottom w:val="nil"/>
              <w:right w:val="nil"/>
            </w:tcBorders>
            <w:noWrap/>
            <w:vAlign w:val="center"/>
          </w:tcPr>
          <w:p w:rsidR="000C3650" w:rsidRDefault="00350081">
            <w:pPr>
              <w:widowControl/>
              <w:jc w:val="center"/>
              <w:rPr>
                <w:rFonts w:ascii="宋体" w:hAnsi="宋体" w:cs="Arial"/>
                <w:b/>
                <w:bCs/>
                <w:kern w:val="0"/>
                <w:sz w:val="30"/>
                <w:szCs w:val="30"/>
              </w:rPr>
            </w:pPr>
            <w:r>
              <w:rPr>
                <w:rFonts w:ascii="宋体" w:hAnsi="宋体" w:cs="Arial" w:hint="eastAsia"/>
                <w:b/>
                <w:bCs/>
                <w:kern w:val="0"/>
                <w:sz w:val="30"/>
                <w:szCs w:val="30"/>
              </w:rPr>
              <w:lastRenderedPageBreak/>
              <w:t>本级预算项目绩效自评表</w:t>
            </w:r>
          </w:p>
        </w:tc>
      </w:tr>
      <w:tr w:rsidR="000C3650">
        <w:trPr>
          <w:trHeight w:val="289"/>
        </w:trPr>
        <w:tc>
          <w:tcPr>
            <w:tcW w:w="8647" w:type="dxa"/>
            <w:gridSpan w:val="7"/>
            <w:tcBorders>
              <w:top w:val="nil"/>
              <w:left w:val="nil"/>
              <w:bottom w:val="nil"/>
              <w:right w:val="nil"/>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（202</w:t>
            </w:r>
            <w:r>
              <w:rPr>
                <w:rFonts w:ascii="宋体" w:hAnsi="宋体" w:cs="Arial"/>
                <w:kern w:val="0"/>
                <w:szCs w:val="21"/>
              </w:rPr>
              <w:t>1</w:t>
            </w:r>
            <w:r>
              <w:rPr>
                <w:rFonts w:ascii="宋体" w:hAnsi="宋体" w:cs="Arial" w:hint="eastAsia"/>
                <w:kern w:val="0"/>
                <w:szCs w:val="21"/>
              </w:rPr>
              <w:t>年）</w:t>
            </w:r>
          </w:p>
        </w:tc>
      </w:tr>
      <w:tr w:rsidR="000C3650">
        <w:trPr>
          <w:trHeight w:val="614"/>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项目名称</w:t>
            </w:r>
          </w:p>
        </w:tc>
        <w:tc>
          <w:tcPr>
            <w:tcW w:w="2693" w:type="dxa"/>
            <w:gridSpan w:val="2"/>
            <w:tcBorders>
              <w:top w:val="single" w:sz="4" w:space="0" w:color="auto"/>
              <w:left w:val="nil"/>
              <w:bottom w:val="single" w:sz="4" w:space="0" w:color="auto"/>
              <w:right w:val="single" w:sz="4" w:space="0" w:color="000000"/>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大厅办公费　</w:t>
            </w:r>
          </w:p>
        </w:tc>
        <w:tc>
          <w:tcPr>
            <w:tcW w:w="1418" w:type="dxa"/>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实施期限</w:t>
            </w:r>
          </w:p>
        </w:tc>
        <w:tc>
          <w:tcPr>
            <w:tcW w:w="3118" w:type="dxa"/>
            <w:gridSpan w:val="3"/>
            <w:tcBorders>
              <w:top w:val="single" w:sz="4" w:space="0" w:color="auto"/>
              <w:left w:val="nil"/>
              <w:bottom w:val="single" w:sz="4" w:space="0" w:color="auto"/>
              <w:right w:val="single" w:sz="4" w:space="0" w:color="000000"/>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2021/1/1-2021/12/31　</w:t>
            </w:r>
          </w:p>
        </w:tc>
      </w:tr>
      <w:tr w:rsidR="000C3650">
        <w:trPr>
          <w:trHeight w:val="549"/>
        </w:trPr>
        <w:tc>
          <w:tcPr>
            <w:tcW w:w="1418" w:type="dxa"/>
            <w:tcBorders>
              <w:top w:val="nil"/>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主管部门</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庄河市营商环境建设局　</w:t>
            </w:r>
          </w:p>
        </w:tc>
        <w:tc>
          <w:tcPr>
            <w:tcW w:w="1418" w:type="dxa"/>
            <w:tcBorders>
              <w:top w:val="nil"/>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实施单位</w:t>
            </w:r>
          </w:p>
        </w:tc>
        <w:tc>
          <w:tcPr>
            <w:tcW w:w="3118" w:type="dxa"/>
            <w:gridSpan w:val="3"/>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庄河市营商环境建设局　</w:t>
            </w:r>
          </w:p>
        </w:tc>
      </w:tr>
      <w:tr w:rsidR="000C3650">
        <w:trPr>
          <w:trHeight w:val="402"/>
        </w:trPr>
        <w:tc>
          <w:tcPr>
            <w:tcW w:w="1418" w:type="dxa"/>
            <w:vMerge w:val="restart"/>
            <w:tcBorders>
              <w:top w:val="nil"/>
              <w:left w:val="single" w:sz="4" w:space="0" w:color="auto"/>
              <w:bottom w:val="single" w:sz="4" w:space="0" w:color="000000"/>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资金投入</w:t>
            </w:r>
          </w:p>
          <w:p w:rsidR="000C3650" w:rsidRDefault="00350081">
            <w:pPr>
              <w:widowControl/>
              <w:jc w:val="center"/>
              <w:rPr>
                <w:rFonts w:ascii="宋体" w:hAnsi="宋体" w:cs="Arial"/>
                <w:kern w:val="0"/>
                <w:szCs w:val="21"/>
              </w:rPr>
            </w:pPr>
            <w:r>
              <w:rPr>
                <w:rFonts w:ascii="宋体" w:hAnsi="宋体" w:cs="Arial" w:hint="eastAsia"/>
                <w:kern w:val="0"/>
                <w:szCs w:val="21"/>
              </w:rPr>
              <w:t>（万元）</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年初预算数</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23.8</w:t>
            </w:r>
          </w:p>
        </w:tc>
      </w:tr>
      <w:tr w:rsidR="000C3650">
        <w:trPr>
          <w:trHeight w:val="402"/>
        </w:trPr>
        <w:tc>
          <w:tcPr>
            <w:tcW w:w="1418" w:type="dxa"/>
            <w:vMerge/>
            <w:tcBorders>
              <w:top w:val="nil"/>
              <w:left w:val="single" w:sz="4" w:space="0" w:color="auto"/>
              <w:bottom w:val="single" w:sz="4" w:space="0" w:color="000000"/>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全年预算数</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23.8　</w:t>
            </w:r>
          </w:p>
        </w:tc>
      </w:tr>
      <w:tr w:rsidR="000C3650">
        <w:trPr>
          <w:trHeight w:val="402"/>
        </w:trPr>
        <w:tc>
          <w:tcPr>
            <w:tcW w:w="1418" w:type="dxa"/>
            <w:vMerge/>
            <w:tcBorders>
              <w:top w:val="nil"/>
              <w:left w:val="single" w:sz="4" w:space="0" w:color="auto"/>
              <w:bottom w:val="single" w:sz="4" w:space="0" w:color="000000"/>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预算执行数</w:t>
            </w:r>
          </w:p>
        </w:tc>
        <w:tc>
          <w:tcPr>
            <w:tcW w:w="4536" w:type="dxa"/>
            <w:gridSpan w:val="4"/>
            <w:tcBorders>
              <w:top w:val="single" w:sz="4" w:space="0" w:color="auto"/>
              <w:left w:val="nil"/>
              <w:bottom w:val="single" w:sz="4" w:space="0" w:color="auto"/>
              <w:right w:val="single" w:sz="4" w:space="0" w:color="000000"/>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23.8</w:t>
            </w:r>
          </w:p>
        </w:tc>
      </w:tr>
      <w:tr w:rsidR="000C3650">
        <w:trPr>
          <w:trHeight w:val="402"/>
        </w:trPr>
        <w:tc>
          <w:tcPr>
            <w:tcW w:w="1418" w:type="dxa"/>
            <w:vMerge w:val="restart"/>
            <w:tcBorders>
              <w:top w:val="nil"/>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绩效目标</w:t>
            </w: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年度目标</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实际完成情况</w:t>
            </w:r>
          </w:p>
        </w:tc>
      </w:tr>
      <w:tr w:rsidR="000C3650">
        <w:trPr>
          <w:trHeight w:val="1451"/>
        </w:trPr>
        <w:tc>
          <w:tcPr>
            <w:tcW w:w="1418" w:type="dxa"/>
            <w:vMerge/>
            <w:tcBorders>
              <w:top w:val="nil"/>
              <w:left w:val="single" w:sz="4" w:space="0" w:color="auto"/>
              <w:bottom w:val="single" w:sz="4" w:space="0" w:color="auto"/>
              <w:right w:val="single" w:sz="4" w:space="0" w:color="auto"/>
            </w:tcBorders>
            <w:vAlign w:val="center"/>
          </w:tcPr>
          <w:p w:rsidR="000C3650" w:rsidRDefault="000C3650">
            <w:pPr>
              <w:widowControl/>
              <w:jc w:val="left"/>
              <w:rPr>
                <w:rFonts w:ascii="宋体" w:hAnsi="宋体" w:cs="Arial"/>
                <w:kern w:val="0"/>
                <w:szCs w:val="21"/>
              </w:rPr>
            </w:pPr>
          </w:p>
        </w:tc>
        <w:tc>
          <w:tcPr>
            <w:tcW w:w="2693" w:type="dxa"/>
            <w:gridSpan w:val="2"/>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保证政务服务大厅日常办公及维护。　</w:t>
            </w:r>
          </w:p>
        </w:tc>
        <w:tc>
          <w:tcPr>
            <w:tcW w:w="4536" w:type="dxa"/>
            <w:gridSpan w:val="4"/>
            <w:tcBorders>
              <w:top w:val="single" w:sz="4" w:space="0" w:color="auto"/>
              <w:left w:val="nil"/>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 xml:space="preserve">　完成全年办公及维护工作。</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一级指标</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二级指标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三级指标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年度指标值</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实际完成值</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权重</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rPr>
                <w:rFonts w:ascii="宋体" w:hAnsi="宋体" w:cs="Arial"/>
                <w:kern w:val="0"/>
                <w:szCs w:val="21"/>
              </w:rPr>
            </w:pPr>
            <w:r>
              <w:rPr>
                <w:rFonts w:ascii="宋体" w:hAnsi="宋体" w:cs="Arial" w:hint="eastAsia"/>
                <w:kern w:val="0"/>
                <w:szCs w:val="21"/>
              </w:rPr>
              <w:t>得分</w:t>
            </w:r>
          </w:p>
        </w:tc>
      </w:tr>
      <w:tr w:rsidR="000C3650">
        <w:trPr>
          <w:trHeight w:val="692"/>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共性指标</w:t>
            </w:r>
          </w:p>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（10分）</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预算管理</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资金到位率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22.5</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Arial"/>
                <w:kern w:val="0"/>
                <w:szCs w:val="21"/>
              </w:rPr>
            </w:pPr>
            <w:r>
              <w:rPr>
                <w:rFonts w:ascii="宋体" w:hAnsi="宋体" w:cs="宋体" w:hint="eastAsia"/>
                <w:color w:val="000000"/>
                <w:kern w:val="0"/>
                <w:sz w:val="24"/>
                <w:szCs w:val="24"/>
              </w:rPr>
              <w:t>5</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3650" w:rsidRDefault="000C3650">
            <w:pPr>
              <w:jc w:val="center"/>
              <w:rPr>
                <w:rFonts w:ascii="宋体" w:hAnsi="宋体" w:cs="宋体"/>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预算执行率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22.5</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r>
      <w:tr w:rsidR="000C3650">
        <w:trPr>
          <w:trHeight w:val="692"/>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产出指标</w:t>
            </w:r>
          </w:p>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数量指标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经费使用准确率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质量指标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项目完成率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w:t>
            </w:r>
          </w:p>
        </w:tc>
      </w:tr>
      <w:tr w:rsidR="000C3650">
        <w:trPr>
          <w:trHeight w:val="692"/>
        </w:trPr>
        <w:tc>
          <w:tcPr>
            <w:tcW w:w="1418" w:type="dxa"/>
            <w:vMerge/>
            <w:tcBorders>
              <w:top w:val="single" w:sz="4" w:space="0" w:color="auto"/>
              <w:left w:val="single" w:sz="4" w:space="0" w:color="auto"/>
              <w:bottom w:val="single" w:sz="4" w:space="0" w:color="auto"/>
              <w:right w:val="single" w:sz="4" w:space="0" w:color="auto"/>
            </w:tcBorders>
            <w:noWrap/>
            <w:vAlign w:val="center"/>
          </w:tcPr>
          <w:p w:rsidR="000C3650" w:rsidRDefault="000C3650">
            <w:pPr>
              <w:jc w:val="center"/>
              <w:rPr>
                <w:rFonts w:ascii="宋体" w:hAnsi="宋体" w:cs="宋体"/>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时效指标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政府采购规范性</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w:t>
            </w:r>
            <w:proofErr w:type="gramStart"/>
            <w:r>
              <w:rPr>
                <w:rFonts w:ascii="宋体" w:hAnsi="宋体" w:cs="宋体" w:hint="eastAsia"/>
                <w:color w:val="000000"/>
                <w:kern w:val="0"/>
                <w:sz w:val="24"/>
                <w:szCs w:val="24"/>
              </w:rPr>
              <w:t>规</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w:t>
            </w:r>
            <w:proofErr w:type="gramStart"/>
            <w:r>
              <w:rPr>
                <w:rFonts w:ascii="宋体" w:hAnsi="宋体" w:cs="宋体" w:hint="eastAsia"/>
                <w:color w:val="000000"/>
                <w:kern w:val="0"/>
                <w:sz w:val="24"/>
                <w:szCs w:val="24"/>
              </w:rPr>
              <w:t>规</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效益指标（30分）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社会效益指标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营商环境建设情况</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有效改善</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有效改善</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28</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满意度指标</w:t>
            </w:r>
          </w:p>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（10分）</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服务对象满意度指标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政策知晓率</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逐步提升</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逐步提升</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9</w:t>
            </w:r>
          </w:p>
        </w:tc>
      </w:tr>
      <w:tr w:rsidR="000C3650">
        <w:trPr>
          <w:trHeight w:val="692"/>
        </w:trPr>
        <w:tc>
          <w:tcPr>
            <w:tcW w:w="1418" w:type="dxa"/>
            <w:tcBorders>
              <w:top w:val="single" w:sz="4" w:space="0" w:color="auto"/>
              <w:left w:val="single" w:sz="4" w:space="0" w:color="auto"/>
              <w:bottom w:val="single" w:sz="4" w:space="0" w:color="auto"/>
              <w:right w:val="single" w:sz="4" w:space="0" w:color="auto"/>
            </w:tcBorders>
            <w:noWrap/>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总计</w:t>
            </w:r>
          </w:p>
        </w:tc>
        <w:tc>
          <w:tcPr>
            <w:tcW w:w="1276"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0C3650" w:rsidRDefault="00FE0CEF">
            <w:pPr>
              <w:jc w:val="center"/>
              <w:rPr>
                <w:rFonts w:ascii="宋体" w:hAnsi="宋体" w:cs="宋体"/>
                <w:color w:val="000000"/>
                <w:kern w:val="0"/>
                <w:sz w:val="24"/>
                <w:szCs w:val="24"/>
              </w:rPr>
            </w:pPr>
            <w:r>
              <w:rPr>
                <w:rFonts w:ascii="宋体" w:hAnsi="宋体" w:cs="宋体" w:hint="eastAsia"/>
                <w:color w:val="000000"/>
                <w:kern w:val="0"/>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0C3650" w:rsidRDefault="00350081">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97</w:t>
            </w:r>
          </w:p>
        </w:tc>
      </w:tr>
    </w:tbl>
    <w:p w:rsidR="000C3650" w:rsidRDefault="000C3650">
      <w:pPr>
        <w:jc w:val="center"/>
        <w:rPr>
          <w:rFonts w:ascii="黑体" w:eastAsia="黑体"/>
          <w:sz w:val="30"/>
          <w:szCs w:val="30"/>
        </w:rPr>
      </w:pPr>
    </w:p>
    <w:p w:rsidR="000C3650" w:rsidRDefault="00350081">
      <w:pPr>
        <w:jc w:val="center"/>
        <w:rPr>
          <w:rFonts w:ascii="黑体" w:eastAsia="黑体"/>
          <w:sz w:val="30"/>
          <w:szCs w:val="30"/>
        </w:rPr>
      </w:pPr>
      <w:r>
        <w:rPr>
          <w:rFonts w:ascii="黑体" w:eastAsia="黑体"/>
          <w:sz w:val="30"/>
          <w:szCs w:val="30"/>
        </w:rPr>
        <w:br w:type="page"/>
      </w:r>
      <w:r>
        <w:rPr>
          <w:rFonts w:ascii="宋体" w:hAnsi="宋体" w:cs="宋体" w:hint="eastAsia"/>
          <w:b/>
          <w:bCs/>
          <w:sz w:val="36"/>
          <w:szCs w:val="36"/>
        </w:rPr>
        <w:lastRenderedPageBreak/>
        <w:t>第三部分    名词解释</w:t>
      </w:r>
    </w:p>
    <w:p w:rsidR="000C3650" w:rsidRDefault="000C3650">
      <w:pPr>
        <w:rPr>
          <w:rFonts w:ascii="仿宋_GB2312" w:eastAsia="仿宋_GB2312" w:hAnsi="宋体" w:cs="仿宋_GB2312"/>
          <w:color w:val="000000"/>
          <w:sz w:val="30"/>
          <w:szCs w:val="30"/>
        </w:rPr>
      </w:pP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一、财政拨款收入：</w:t>
      </w:r>
      <w:r>
        <w:rPr>
          <w:rFonts w:ascii="仿宋_GB2312" w:eastAsia="仿宋_GB2312" w:hint="eastAsia"/>
          <w:sz w:val="32"/>
          <w:szCs w:val="32"/>
        </w:rPr>
        <w:t>指单位本年度从本级财政部门取得的财政拨款，包括一般公共预算财政拨款和政府性基金预算财政拨款。</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指事业单位开展专业业务活动及其辅助活动取得的收入。</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四、附属单位</w:t>
      </w:r>
      <w:r>
        <w:rPr>
          <w:rFonts w:ascii="仿宋_GB2312" w:eastAsia="仿宋_GB2312"/>
          <w:b/>
          <w:sz w:val="32"/>
          <w:szCs w:val="32"/>
        </w:rPr>
        <w:t>上缴</w:t>
      </w:r>
      <w:r>
        <w:rPr>
          <w:rFonts w:ascii="仿宋_GB2312" w:eastAsia="仿宋_GB2312" w:hint="eastAsia"/>
          <w:b/>
          <w:sz w:val="32"/>
          <w:szCs w:val="32"/>
        </w:rPr>
        <w:t>收入</w:t>
      </w:r>
      <w:r>
        <w:rPr>
          <w:rFonts w:ascii="仿宋_GB2312" w:eastAsia="仿宋_GB2312"/>
          <w:b/>
          <w:sz w:val="32"/>
          <w:szCs w:val="32"/>
        </w:rPr>
        <w:t>：</w:t>
      </w:r>
      <w:r>
        <w:rPr>
          <w:rFonts w:ascii="仿宋_GB2312" w:eastAsia="仿宋_GB2312"/>
          <w:sz w:val="32"/>
          <w:szCs w:val="32"/>
        </w:rPr>
        <w:t>指单位附属</w:t>
      </w:r>
      <w:r>
        <w:rPr>
          <w:rFonts w:ascii="仿宋_GB2312" w:eastAsia="仿宋_GB2312" w:hint="eastAsia"/>
          <w:sz w:val="32"/>
          <w:szCs w:val="32"/>
        </w:rPr>
        <w:t>的</w:t>
      </w:r>
      <w:r>
        <w:rPr>
          <w:rFonts w:ascii="仿宋_GB2312" w:eastAsia="仿宋_GB2312"/>
          <w:sz w:val="32"/>
          <w:szCs w:val="32"/>
        </w:rPr>
        <w:t>独立核算单位按照规定上缴的收入。</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五</w:t>
      </w:r>
      <w:r>
        <w:rPr>
          <w:rFonts w:ascii="仿宋_GB2312" w:eastAsia="仿宋_GB2312"/>
          <w:b/>
          <w:sz w:val="32"/>
          <w:szCs w:val="32"/>
        </w:rPr>
        <w:t>、</w:t>
      </w:r>
      <w:r>
        <w:rPr>
          <w:rFonts w:ascii="仿宋_GB2312" w:eastAsia="仿宋_GB2312" w:hint="eastAsia"/>
          <w:b/>
          <w:sz w:val="32"/>
          <w:szCs w:val="32"/>
        </w:rPr>
        <w:t>其他收入：</w:t>
      </w:r>
      <w:r>
        <w:rPr>
          <w:rFonts w:ascii="仿宋_GB2312" w:eastAsia="仿宋_GB2312" w:hint="eastAsia"/>
          <w:sz w:val="32"/>
          <w:szCs w:val="32"/>
        </w:rPr>
        <w:t>指单位取得的除“财政拨款收入”、“事业收入”、“经营收入”等以外的收入。</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六、使用非财政拨款结余：</w:t>
      </w:r>
      <w:r>
        <w:rPr>
          <w:rFonts w:ascii="仿宋_GB2312" w:eastAsia="仿宋_GB2312" w:hint="eastAsia"/>
          <w:sz w:val="32"/>
          <w:szCs w:val="32"/>
        </w:rPr>
        <w:t>指事业单位按照预算管理要求使用非财政拨款结余弥补收支差额的金额。</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七</w:t>
      </w:r>
      <w:r>
        <w:rPr>
          <w:rFonts w:ascii="仿宋_GB2312" w:eastAsia="仿宋_GB2312"/>
          <w:b/>
          <w:sz w:val="32"/>
          <w:szCs w:val="32"/>
        </w:rPr>
        <w:t>、</w:t>
      </w:r>
      <w:r>
        <w:rPr>
          <w:rFonts w:ascii="仿宋_GB2312" w:eastAsia="仿宋_GB2312" w:hint="eastAsia"/>
          <w:b/>
          <w:sz w:val="32"/>
          <w:szCs w:val="32"/>
        </w:rPr>
        <w:t>年初结转和结余：</w:t>
      </w:r>
      <w:r>
        <w:rPr>
          <w:rFonts w:ascii="仿宋_GB2312" w:eastAsia="仿宋_GB2312" w:hint="eastAsia"/>
          <w:sz w:val="32"/>
          <w:szCs w:val="32"/>
        </w:rPr>
        <w:t>指以前年度尚未完成、结转到本年按有关规定继续使用的资金。</w:t>
      </w:r>
    </w:p>
    <w:p w:rsidR="000C3650" w:rsidRDefault="00350081">
      <w:pPr>
        <w:ind w:firstLineChars="200" w:firstLine="643"/>
        <w:rPr>
          <w:rFonts w:ascii="仿宋_GB2312" w:eastAsia="仿宋_GB2312"/>
          <w:b/>
          <w:sz w:val="32"/>
          <w:szCs w:val="32"/>
        </w:rPr>
      </w:pPr>
      <w:r>
        <w:rPr>
          <w:rFonts w:ascii="仿宋_GB2312" w:eastAsia="仿宋_GB2312" w:hint="eastAsia"/>
          <w:b/>
          <w:sz w:val="32"/>
          <w:szCs w:val="32"/>
        </w:rPr>
        <w:t>八、结余</w:t>
      </w:r>
      <w:r>
        <w:rPr>
          <w:rFonts w:ascii="仿宋_GB2312" w:eastAsia="仿宋_GB2312"/>
          <w:b/>
          <w:sz w:val="32"/>
          <w:szCs w:val="32"/>
        </w:rPr>
        <w:t>分配：</w:t>
      </w:r>
      <w:r>
        <w:rPr>
          <w:rFonts w:ascii="仿宋_GB2312" w:eastAsia="仿宋_GB2312" w:hint="eastAsia"/>
          <w:sz w:val="32"/>
          <w:szCs w:val="32"/>
        </w:rPr>
        <w:t>指</w:t>
      </w:r>
      <w:r>
        <w:rPr>
          <w:rFonts w:ascii="仿宋_GB2312" w:eastAsia="仿宋_GB2312"/>
          <w:sz w:val="32"/>
          <w:szCs w:val="32"/>
        </w:rPr>
        <w:t>事业单位</w:t>
      </w:r>
      <w:r>
        <w:rPr>
          <w:rFonts w:ascii="仿宋_GB2312" w:eastAsia="仿宋_GB2312" w:hint="eastAsia"/>
          <w:sz w:val="32"/>
          <w:szCs w:val="32"/>
        </w:rPr>
        <w:t>按照</w:t>
      </w:r>
      <w:r>
        <w:rPr>
          <w:rFonts w:ascii="仿宋_GB2312" w:eastAsia="仿宋_GB2312"/>
          <w:sz w:val="32"/>
          <w:szCs w:val="32"/>
        </w:rPr>
        <w:t>会计制度规定缴纳的所得税、提取的专用</w:t>
      </w:r>
      <w:r>
        <w:rPr>
          <w:rFonts w:ascii="仿宋_GB2312" w:eastAsia="仿宋_GB2312" w:hint="eastAsia"/>
          <w:sz w:val="32"/>
          <w:szCs w:val="32"/>
        </w:rPr>
        <w:t>结余</w:t>
      </w:r>
      <w:r>
        <w:rPr>
          <w:rFonts w:ascii="仿宋_GB2312" w:eastAsia="仿宋_GB2312"/>
          <w:sz w:val="32"/>
          <w:szCs w:val="32"/>
        </w:rPr>
        <w:t>以及转入非财政拨款结余的金额等</w:t>
      </w:r>
      <w:r>
        <w:rPr>
          <w:rFonts w:ascii="仿宋_GB2312" w:eastAsia="仿宋_GB2312" w:hint="eastAsia"/>
          <w:sz w:val="32"/>
          <w:szCs w:val="32"/>
        </w:rPr>
        <w:t>。</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九</w:t>
      </w:r>
      <w:r>
        <w:rPr>
          <w:rFonts w:ascii="仿宋_GB2312" w:eastAsia="仿宋_GB2312"/>
          <w:b/>
          <w:sz w:val="32"/>
          <w:szCs w:val="32"/>
        </w:rPr>
        <w:t>、</w:t>
      </w:r>
      <w:r>
        <w:rPr>
          <w:rFonts w:ascii="仿宋_GB2312" w:eastAsia="仿宋_GB2312" w:hint="eastAsia"/>
          <w:b/>
          <w:sz w:val="32"/>
          <w:szCs w:val="32"/>
        </w:rPr>
        <w:t>年末结转和结余：</w:t>
      </w:r>
      <w:r>
        <w:rPr>
          <w:rFonts w:ascii="仿宋_GB2312" w:eastAsia="仿宋_GB2312" w:hint="eastAsia"/>
          <w:sz w:val="32"/>
          <w:szCs w:val="32"/>
        </w:rPr>
        <w:t>指本年度或以前年度预算安排、因客观条件发生变化无法按原计划实施，需延迟到以后年度按有关规定继续使用的资金。</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lastRenderedPageBreak/>
        <w:t>十、基本支出：</w:t>
      </w:r>
      <w:r>
        <w:rPr>
          <w:rFonts w:ascii="仿宋_GB2312" w:eastAsia="仿宋_GB2312" w:hint="eastAsia"/>
          <w:sz w:val="32"/>
          <w:szCs w:val="32"/>
        </w:rPr>
        <w:t>指单位为保障机构正常运转、完成日常工作任务而发生的各项支出。</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十一、项目支出：</w:t>
      </w:r>
      <w:r>
        <w:rPr>
          <w:rFonts w:ascii="仿宋_GB2312" w:eastAsia="仿宋_GB2312" w:hint="eastAsia"/>
          <w:sz w:val="32"/>
          <w:szCs w:val="32"/>
        </w:rPr>
        <w:t>指单位为完成特定的行政工作任务或事业发展目标，在基本支出之外发生的各项支出。</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十二、经营支出：</w:t>
      </w:r>
      <w:r>
        <w:rPr>
          <w:rFonts w:ascii="仿宋_GB2312" w:eastAsia="仿宋_GB2312" w:hint="eastAsia"/>
          <w:sz w:val="32"/>
          <w:szCs w:val="32"/>
        </w:rPr>
        <w:t>指事业单位在专业活动及辅助活动之外开展非独立核算经营活动发生的支出。</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十三、“三公”经费：</w:t>
      </w:r>
      <w:r>
        <w:rPr>
          <w:rFonts w:ascii="仿宋_GB2312" w:eastAsia="仿宋_GB2312" w:hint="eastAsia"/>
          <w:sz w:val="32"/>
          <w:szCs w:val="32"/>
        </w:rPr>
        <w:t>指单位使用本级财政拨款安排的因公出国（境）费、公务用车购置及运行费和公务接待费。其中:因公出国（境）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单位参加国际合作交流、重大项目洽谈、境外培训研修等的国际旅费、国外城市间交通费、住宿费、伙食费、培训费、公杂费等支出；公务接待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全国性专业会议、国家重大政策调研、专项检查以及外事团组接待交流等执行公务或开展业务所需住宿费、交通费、伙食费等支出；公务用车购置及运行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编制内公务车辆的报废更新，以及用于安排市内因公出差、公务文件交换、日常工作开展等所需公务用车燃料费、维修费、过路过桥费、保险费等支出。</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十四、机关运行经费：</w:t>
      </w:r>
      <w:r>
        <w:rPr>
          <w:rFonts w:ascii="仿宋_GB2312" w:eastAsia="仿宋_GB2312" w:hint="eastAsia"/>
          <w:sz w:val="32"/>
          <w:szCs w:val="32"/>
        </w:rPr>
        <w:t>指行政单位和参照公务员法管理的事业单位使用一般公共预算财政拨款安排的基本支出中的日常公用经费支出，</w:t>
      </w:r>
      <w:r>
        <w:rPr>
          <w:rFonts w:ascii="仿宋_GB2312" w:eastAsia="仿宋_GB2312"/>
          <w:sz w:val="32"/>
          <w:szCs w:val="32"/>
        </w:rPr>
        <w:t>主要</w:t>
      </w:r>
      <w:r>
        <w:rPr>
          <w:rFonts w:ascii="仿宋_GB2312" w:eastAsia="仿宋_GB2312" w:hint="eastAsia"/>
          <w:sz w:val="32"/>
          <w:szCs w:val="32"/>
        </w:rPr>
        <w:t>包括办公及印刷费、邮电费、差旅费、会议费、福利费、日常维修费、专用材料及一般设备购置费、办公用房水电费、办公用房取暖费、办公用房物业</w:t>
      </w:r>
      <w:r>
        <w:rPr>
          <w:rFonts w:ascii="仿宋_GB2312" w:eastAsia="仿宋_GB2312" w:hint="eastAsia"/>
          <w:sz w:val="32"/>
          <w:szCs w:val="32"/>
        </w:rPr>
        <w:lastRenderedPageBreak/>
        <w:t>管理费、公务用车运行维护费以及其他费用。</w:t>
      </w:r>
    </w:p>
    <w:p w:rsidR="000C3650" w:rsidRDefault="00350081">
      <w:pPr>
        <w:ind w:firstLineChars="200" w:firstLine="643"/>
        <w:rPr>
          <w:rFonts w:ascii="仿宋_GB2312" w:eastAsia="仿宋_GB2312"/>
          <w:sz w:val="32"/>
          <w:szCs w:val="32"/>
        </w:rPr>
      </w:pPr>
      <w:r>
        <w:rPr>
          <w:rFonts w:ascii="仿宋_GB2312" w:eastAsia="仿宋_GB2312" w:hint="eastAsia"/>
          <w:b/>
          <w:sz w:val="32"/>
          <w:szCs w:val="32"/>
        </w:rPr>
        <w:t>十五</w:t>
      </w:r>
      <w:r>
        <w:rPr>
          <w:rFonts w:ascii="仿宋_GB2312" w:eastAsia="仿宋_GB2312"/>
          <w:b/>
          <w:sz w:val="32"/>
          <w:szCs w:val="32"/>
        </w:rPr>
        <w:t>、</w:t>
      </w:r>
      <w:r>
        <w:rPr>
          <w:rFonts w:ascii="仿宋_GB2312" w:eastAsia="仿宋_GB2312" w:hint="eastAsia"/>
          <w:b/>
          <w:sz w:val="32"/>
          <w:szCs w:val="32"/>
        </w:rPr>
        <w:t>一般公共服务（类）财政事务（款）行政运行（项）：</w:t>
      </w:r>
      <w:r>
        <w:rPr>
          <w:rFonts w:ascii="仿宋_GB2312" w:eastAsia="仿宋_GB2312" w:hint="eastAsia"/>
          <w:sz w:val="32"/>
          <w:szCs w:val="32"/>
        </w:rPr>
        <w:t>反映行政单位（包括实行公务员管理的事业单位）的基本支出。</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工资福利支出，主要包括：基本工资、津贴补贴、奖金、基本养老保险、医疗保险缴费、住房公积金、奖励金。</w:t>
      </w:r>
    </w:p>
    <w:p w:rsidR="000C3650" w:rsidRDefault="00350081">
      <w:pPr>
        <w:ind w:firstLineChars="200" w:firstLine="640"/>
        <w:rPr>
          <w:rFonts w:ascii="仿宋_GB2312" w:eastAsia="仿宋_GB2312"/>
          <w:sz w:val="32"/>
          <w:szCs w:val="32"/>
        </w:rPr>
      </w:pPr>
      <w:r>
        <w:rPr>
          <w:rFonts w:ascii="仿宋_GB2312" w:eastAsia="仿宋_GB2312" w:hint="eastAsia"/>
          <w:sz w:val="32"/>
          <w:szCs w:val="32"/>
        </w:rPr>
        <w:t>商品和服务支出，主要包括：办公费、印刷费、邮电费、差旅费、维修费、公务接待费、培训费、劳务费、委托业务费、工会经费、公务车运行维护费。</w:t>
      </w:r>
    </w:p>
    <w:p w:rsidR="000C3650" w:rsidRDefault="00350081">
      <w:pPr>
        <w:ind w:firstLineChars="200" w:firstLine="640"/>
        <w:rPr>
          <w:rFonts w:ascii="仿宋_GB2312" w:eastAsia="仿宋_GB2312"/>
          <w:sz w:val="32"/>
          <w:szCs w:val="32"/>
        </w:rPr>
        <w:sectPr w:rsidR="000C3650">
          <w:footerReference w:type="default" r:id="rId10"/>
          <w:pgSz w:w="11906" w:h="16838"/>
          <w:pgMar w:top="1440" w:right="1800" w:bottom="1440" w:left="1800" w:header="851" w:footer="992" w:gutter="0"/>
          <w:pgNumType w:fmt="numberInDash"/>
          <w:cols w:space="720"/>
          <w:docGrid w:type="lines" w:linePitch="312"/>
        </w:sectPr>
      </w:pPr>
      <w:r>
        <w:rPr>
          <w:rFonts w:ascii="仿宋_GB2312" w:eastAsia="仿宋_GB2312" w:hint="eastAsia"/>
          <w:sz w:val="32"/>
          <w:szCs w:val="32"/>
        </w:rPr>
        <w:t>3、资本性支出。主要包括：办公设备购置。</w:t>
      </w:r>
    </w:p>
    <w:p w:rsidR="000C3650" w:rsidRDefault="000C3650">
      <w:pPr>
        <w:rPr>
          <w:rFonts w:ascii="仿宋_GB2312" w:eastAsia="仿宋_GB2312"/>
          <w:sz w:val="36"/>
          <w:szCs w:val="36"/>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350081">
      <w:pPr>
        <w:spacing w:line="540" w:lineRule="exact"/>
        <w:jc w:val="center"/>
        <w:rPr>
          <w:rFonts w:ascii="宋体" w:hAnsi="宋体" w:cs="宋体"/>
          <w:b/>
          <w:bCs/>
          <w:sz w:val="44"/>
          <w:szCs w:val="44"/>
        </w:rPr>
      </w:pPr>
      <w:r>
        <w:rPr>
          <w:rFonts w:ascii="宋体" w:hAnsi="宋体" w:cs="宋体" w:hint="eastAsia"/>
          <w:b/>
          <w:bCs/>
          <w:sz w:val="48"/>
          <w:szCs w:val="48"/>
        </w:rPr>
        <w:t>第四部分  庄河市营商环境建设局2021年度部门决算报表</w:t>
      </w: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tbl>
      <w:tblPr>
        <w:tblW w:w="14070" w:type="dxa"/>
        <w:tblInd w:w="91" w:type="dxa"/>
        <w:tblLook w:val="0000"/>
      </w:tblPr>
      <w:tblGrid>
        <w:gridCol w:w="4754"/>
        <w:gridCol w:w="835"/>
        <w:gridCol w:w="1115"/>
        <w:gridCol w:w="4475"/>
        <w:gridCol w:w="835"/>
        <w:gridCol w:w="2057"/>
      </w:tblGrid>
      <w:tr w:rsidR="000C3650">
        <w:trPr>
          <w:trHeight w:val="363"/>
        </w:trPr>
        <w:tc>
          <w:tcPr>
            <w:tcW w:w="14070" w:type="dxa"/>
            <w:gridSpan w:val="6"/>
            <w:tcBorders>
              <w:top w:val="nil"/>
              <w:left w:val="nil"/>
              <w:bottom w:val="nil"/>
              <w:right w:val="nil"/>
            </w:tcBorders>
            <w:noWrap/>
            <w:vAlign w:val="bottom"/>
          </w:tcPr>
          <w:p w:rsidR="000C3650" w:rsidRDefault="00350081">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收入支出决算总表</w:t>
            </w:r>
          </w:p>
        </w:tc>
      </w:tr>
      <w:tr w:rsidR="000C3650">
        <w:trPr>
          <w:trHeight w:val="363"/>
        </w:trPr>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35008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公开01表</w:t>
            </w:r>
          </w:p>
        </w:tc>
      </w:tr>
      <w:tr w:rsidR="000C3650">
        <w:trPr>
          <w:trHeight w:val="363"/>
        </w:trPr>
        <w:tc>
          <w:tcPr>
            <w:tcW w:w="0" w:type="auto"/>
            <w:tcBorders>
              <w:top w:val="nil"/>
              <w:left w:val="nil"/>
              <w:bottom w:val="nil"/>
              <w:right w:val="nil"/>
            </w:tcBorders>
            <w:noWrap/>
            <w:vAlign w:val="bottom"/>
          </w:tcPr>
          <w:p w:rsidR="000C3650" w:rsidRDefault="0035008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部门：庄河市营商环境建设局</w:t>
            </w:r>
          </w:p>
        </w:tc>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0" w:type="auto"/>
            <w:tcBorders>
              <w:top w:val="nil"/>
              <w:left w:val="nil"/>
              <w:bottom w:val="nil"/>
              <w:right w:val="nil"/>
            </w:tcBorders>
            <w:noWrap/>
            <w:vAlign w:val="bottom"/>
          </w:tcPr>
          <w:p w:rsidR="000C3650" w:rsidRDefault="0035008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C3650">
        <w:trPr>
          <w:trHeight w:val="363"/>
        </w:trPr>
        <w:tc>
          <w:tcPr>
            <w:tcW w:w="0" w:type="auto"/>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0" w:type="auto"/>
            <w:gridSpan w:val="3"/>
            <w:tcBorders>
              <w:top w:val="single" w:sz="4" w:space="0" w:color="000000"/>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一、一般公共预算财政拨款收入</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356.67</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0" w:type="auto"/>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二、政府性基金预算财政拨款收入</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三、国有资本经营预算财政拨款收入</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四、上级补助收入</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五、事业收入</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六、经营收入</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七、附属单位上缴收入</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八、其他收入</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0" w:type="auto"/>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0" w:type="auto"/>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0" w:type="auto"/>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b/>
                <w:bCs/>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二十六、抗</w:t>
            </w:r>
            <w:proofErr w:type="gramStart"/>
            <w:r>
              <w:rPr>
                <w:rFonts w:ascii="宋体" w:hAnsi="宋体" w:cs="宋体" w:hint="eastAsia"/>
                <w:color w:val="000000"/>
                <w:kern w:val="0"/>
                <w:sz w:val="22"/>
              </w:rPr>
              <w:t>疫</w:t>
            </w:r>
            <w:proofErr w:type="gramEnd"/>
            <w:r>
              <w:rPr>
                <w:rFonts w:ascii="宋体" w:hAnsi="宋体" w:cs="宋体" w:hint="eastAsia"/>
                <w:color w:val="000000"/>
                <w:kern w:val="0"/>
                <w:sz w:val="22"/>
              </w:rPr>
              <w:t>特别国债安排的支出</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本年收入合计</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356.67</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本年支出合计</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0" w:type="auto"/>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385.97</w:t>
            </w: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使用非财政拨款结余</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结余分配</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29.30</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年末结转和结余</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0" w:type="auto"/>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0" w:type="auto"/>
            <w:tcBorders>
              <w:top w:val="nil"/>
              <w:left w:val="nil"/>
              <w:bottom w:val="single" w:sz="4" w:space="0" w:color="000000"/>
              <w:right w:val="single" w:sz="4" w:space="0" w:color="000000"/>
            </w:tcBorders>
            <w:noWrap/>
            <w:vAlign w:val="center"/>
          </w:tcPr>
          <w:p w:rsidR="000C3650" w:rsidRDefault="000C3650">
            <w:pPr>
              <w:jc w:val="left"/>
              <w:rPr>
                <w:rFonts w:ascii="宋体" w:hAnsi="宋体" w:cs="宋体"/>
                <w:color w:val="000000"/>
                <w:sz w:val="22"/>
              </w:rPr>
            </w:pPr>
          </w:p>
        </w:tc>
      </w:tr>
      <w:tr w:rsidR="000C3650">
        <w:trPr>
          <w:trHeight w:val="363"/>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0" w:type="auto"/>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385.97</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0" w:type="auto"/>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0" w:type="auto"/>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385.97</w:t>
            </w:r>
          </w:p>
        </w:tc>
      </w:tr>
      <w:tr w:rsidR="000C3650">
        <w:trPr>
          <w:trHeight w:val="363"/>
        </w:trPr>
        <w:tc>
          <w:tcPr>
            <w:tcW w:w="0" w:type="auto"/>
            <w:gridSpan w:val="6"/>
            <w:tcBorders>
              <w:top w:val="nil"/>
              <w:left w:val="nil"/>
              <w:bottom w:val="nil"/>
              <w:right w:val="nil"/>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注：1.本表反映部门本年度的总收支和年末结转结余情况。</w:t>
            </w:r>
          </w:p>
        </w:tc>
      </w:tr>
    </w:tbl>
    <w:p w:rsidR="000C3650" w:rsidRDefault="000C3650">
      <w:pPr>
        <w:rPr>
          <w:rFonts w:ascii="仿宋_GB2312" w:eastAsia="仿宋_GB2312"/>
          <w:sz w:val="30"/>
          <w:szCs w:val="30"/>
        </w:rPr>
      </w:pPr>
    </w:p>
    <w:p w:rsidR="000C3650" w:rsidRDefault="000C3650">
      <w:pPr>
        <w:rPr>
          <w:rFonts w:ascii="仿宋_GB2312" w:eastAsia="仿宋_GB2312"/>
          <w:sz w:val="30"/>
          <w:szCs w:val="30"/>
        </w:rPr>
      </w:pPr>
    </w:p>
    <w:p w:rsidR="000C3650" w:rsidRDefault="000C3650">
      <w:pPr>
        <w:rPr>
          <w:rFonts w:ascii="仿宋_GB2312" w:eastAsia="仿宋_GB2312"/>
          <w:sz w:val="30"/>
          <w:szCs w:val="30"/>
        </w:rPr>
      </w:pPr>
    </w:p>
    <w:tbl>
      <w:tblPr>
        <w:tblW w:w="14081" w:type="dxa"/>
        <w:tblInd w:w="93" w:type="dxa"/>
        <w:tblLayout w:type="fixed"/>
        <w:tblLook w:val="0000"/>
      </w:tblPr>
      <w:tblGrid>
        <w:gridCol w:w="2907"/>
        <w:gridCol w:w="4309"/>
        <w:gridCol w:w="1098"/>
        <w:gridCol w:w="1098"/>
        <w:gridCol w:w="800"/>
        <w:gridCol w:w="654"/>
        <w:gridCol w:w="654"/>
        <w:gridCol w:w="945"/>
        <w:gridCol w:w="1616"/>
      </w:tblGrid>
      <w:tr w:rsidR="000C3650">
        <w:trPr>
          <w:trHeight w:val="390"/>
        </w:trPr>
        <w:tc>
          <w:tcPr>
            <w:tcW w:w="14081" w:type="dxa"/>
            <w:gridSpan w:val="9"/>
            <w:tcBorders>
              <w:top w:val="nil"/>
              <w:left w:val="nil"/>
              <w:bottom w:val="nil"/>
              <w:right w:val="nil"/>
            </w:tcBorders>
            <w:noWrap/>
            <w:vAlign w:val="bottom"/>
          </w:tcPr>
          <w:p w:rsidR="000C3650" w:rsidRDefault="00350081">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收入决算表</w:t>
            </w:r>
          </w:p>
        </w:tc>
      </w:tr>
      <w:tr w:rsidR="000C3650">
        <w:trPr>
          <w:trHeight w:val="255"/>
        </w:trPr>
        <w:tc>
          <w:tcPr>
            <w:tcW w:w="2907"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4309"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098"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098"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800"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654"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654"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945"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616" w:type="dxa"/>
            <w:tcBorders>
              <w:top w:val="nil"/>
              <w:left w:val="nil"/>
              <w:bottom w:val="nil"/>
              <w:right w:val="nil"/>
            </w:tcBorders>
            <w:noWrap/>
            <w:vAlign w:val="bottom"/>
          </w:tcPr>
          <w:p w:rsidR="000C3650" w:rsidRDefault="0035008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公开02表</w:t>
            </w:r>
          </w:p>
        </w:tc>
      </w:tr>
      <w:tr w:rsidR="000C3650">
        <w:trPr>
          <w:trHeight w:val="255"/>
        </w:trPr>
        <w:tc>
          <w:tcPr>
            <w:tcW w:w="2907" w:type="dxa"/>
            <w:tcBorders>
              <w:top w:val="nil"/>
              <w:left w:val="nil"/>
              <w:bottom w:val="nil"/>
              <w:right w:val="nil"/>
            </w:tcBorders>
            <w:noWrap/>
            <w:vAlign w:val="bottom"/>
          </w:tcPr>
          <w:p w:rsidR="000C3650" w:rsidRDefault="00350081">
            <w:pPr>
              <w:rPr>
                <w:rFonts w:ascii="Arial" w:hAnsi="Arial" w:cs="Arial"/>
                <w:color w:val="000000"/>
                <w:sz w:val="20"/>
                <w:szCs w:val="20"/>
              </w:rPr>
            </w:pPr>
            <w:r>
              <w:rPr>
                <w:rFonts w:ascii="宋体" w:hAnsi="宋体" w:cs="宋体" w:hint="eastAsia"/>
                <w:color w:val="000000"/>
                <w:kern w:val="0"/>
                <w:sz w:val="20"/>
                <w:szCs w:val="20"/>
              </w:rPr>
              <w:t>部门：庄河市营商环境建设局</w:t>
            </w:r>
          </w:p>
        </w:tc>
        <w:tc>
          <w:tcPr>
            <w:tcW w:w="4309"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098"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098"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800"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654"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654"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945" w:type="dxa"/>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616" w:type="dxa"/>
            <w:tcBorders>
              <w:top w:val="nil"/>
              <w:left w:val="nil"/>
              <w:bottom w:val="nil"/>
              <w:right w:val="nil"/>
            </w:tcBorders>
            <w:noWrap/>
            <w:vAlign w:val="bottom"/>
          </w:tcPr>
          <w:p w:rsidR="000C3650" w:rsidRDefault="0035008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C3650">
        <w:trPr>
          <w:trHeight w:val="308"/>
        </w:trPr>
        <w:tc>
          <w:tcPr>
            <w:tcW w:w="7216"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98" w:type="dxa"/>
            <w:vMerge w:val="restart"/>
            <w:tcBorders>
              <w:top w:val="single" w:sz="4" w:space="0" w:color="000000"/>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098" w:type="dxa"/>
            <w:vMerge w:val="restart"/>
            <w:tcBorders>
              <w:top w:val="single" w:sz="4" w:space="0" w:color="000000"/>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800" w:type="dxa"/>
            <w:vMerge w:val="restart"/>
            <w:tcBorders>
              <w:top w:val="single" w:sz="4" w:space="0" w:color="000000"/>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654" w:type="dxa"/>
            <w:vMerge w:val="restart"/>
            <w:tcBorders>
              <w:top w:val="single" w:sz="4" w:space="0" w:color="000000"/>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654" w:type="dxa"/>
            <w:vMerge w:val="restart"/>
            <w:tcBorders>
              <w:top w:val="single" w:sz="4" w:space="0" w:color="000000"/>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945" w:type="dxa"/>
            <w:vMerge w:val="restart"/>
            <w:tcBorders>
              <w:top w:val="single" w:sz="4" w:space="0" w:color="000000"/>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616" w:type="dxa"/>
            <w:vMerge w:val="restart"/>
            <w:tcBorders>
              <w:top w:val="single" w:sz="4" w:space="0" w:color="000000"/>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0C3650">
        <w:trPr>
          <w:trHeight w:val="312"/>
        </w:trPr>
        <w:tc>
          <w:tcPr>
            <w:tcW w:w="2907" w:type="dxa"/>
            <w:vMerge w:val="restart"/>
            <w:tcBorders>
              <w:top w:val="nil"/>
              <w:left w:val="single" w:sz="4" w:space="0" w:color="000000"/>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4309" w:type="dxa"/>
            <w:vMerge w:val="restar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98"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098"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800"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654"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654"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945"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616"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r>
      <w:tr w:rsidR="000C3650">
        <w:trPr>
          <w:trHeight w:val="312"/>
        </w:trPr>
        <w:tc>
          <w:tcPr>
            <w:tcW w:w="2907" w:type="dxa"/>
            <w:vMerge/>
            <w:tcBorders>
              <w:top w:val="nil"/>
              <w:left w:val="single" w:sz="4" w:space="0" w:color="000000"/>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4309" w:type="dxa"/>
            <w:vMerge/>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1098"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098"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800"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654"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654"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945"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616"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r>
      <w:tr w:rsidR="000C3650">
        <w:trPr>
          <w:trHeight w:val="312"/>
        </w:trPr>
        <w:tc>
          <w:tcPr>
            <w:tcW w:w="2907" w:type="dxa"/>
            <w:vMerge/>
            <w:tcBorders>
              <w:top w:val="nil"/>
              <w:left w:val="single" w:sz="4" w:space="0" w:color="000000"/>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4309" w:type="dxa"/>
            <w:vMerge/>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1098"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098"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800"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654"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654"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945"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616" w:type="dxa"/>
            <w:vMerge/>
            <w:tcBorders>
              <w:top w:val="single" w:sz="4" w:space="0" w:color="000000"/>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r>
      <w:tr w:rsidR="000C3650">
        <w:trPr>
          <w:trHeight w:val="308"/>
        </w:trPr>
        <w:tc>
          <w:tcPr>
            <w:tcW w:w="7216" w:type="dxa"/>
            <w:gridSpan w:val="2"/>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098" w:type="dxa"/>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098" w:type="dxa"/>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00" w:type="dxa"/>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654" w:type="dxa"/>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654" w:type="dxa"/>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45" w:type="dxa"/>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616" w:type="dxa"/>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0C3650">
        <w:trPr>
          <w:trHeight w:val="308"/>
        </w:trPr>
        <w:tc>
          <w:tcPr>
            <w:tcW w:w="7216" w:type="dxa"/>
            <w:gridSpan w:val="2"/>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b/>
                <w:bCs/>
                <w:color w:val="000000"/>
                <w:sz w:val="22"/>
              </w:rPr>
            </w:pPr>
            <w:r>
              <w:rPr>
                <w:rFonts w:ascii="宋体" w:hAnsi="宋体" w:cs="宋体" w:hint="eastAsia"/>
                <w:b/>
                <w:bCs/>
                <w:color w:val="000000"/>
                <w:kern w:val="0"/>
                <w:sz w:val="22"/>
              </w:rPr>
              <w:t>356.67</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b/>
                <w:bCs/>
                <w:color w:val="000000"/>
                <w:sz w:val="22"/>
              </w:rPr>
            </w:pPr>
            <w:r>
              <w:rPr>
                <w:rFonts w:ascii="宋体" w:hAnsi="宋体" w:cs="宋体" w:hint="eastAsia"/>
                <w:b/>
                <w:bCs/>
                <w:color w:val="000000"/>
                <w:kern w:val="0"/>
                <w:sz w:val="22"/>
              </w:rPr>
              <w:t>356.67</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b/>
                <w:bCs/>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b/>
                <w:bCs/>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b/>
                <w:bCs/>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b/>
                <w:bCs/>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b/>
                <w:bCs/>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311.29</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311.29</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20103</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政府办公厅（室）及相关机构事务</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311.29</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311.29</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2010306</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政务公开审批</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311.29</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311.29</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5.40</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5.40</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5.20</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5.20</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221</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住房保障支出</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22102</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2210201</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11.10</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11.10</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2907" w:type="dxa"/>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2210202</w:t>
            </w:r>
          </w:p>
        </w:tc>
        <w:tc>
          <w:tcPr>
            <w:tcW w:w="4309" w:type="dxa"/>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提租补贴</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10.58</w:t>
            </w:r>
          </w:p>
        </w:tc>
        <w:tc>
          <w:tcPr>
            <w:tcW w:w="1098" w:type="dxa"/>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10.58</w:t>
            </w:r>
          </w:p>
        </w:tc>
        <w:tc>
          <w:tcPr>
            <w:tcW w:w="800"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54"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945"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1616" w:type="dxa"/>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4081" w:type="dxa"/>
            <w:gridSpan w:val="9"/>
            <w:tcBorders>
              <w:top w:val="nil"/>
              <w:left w:val="nil"/>
              <w:bottom w:val="nil"/>
              <w:right w:val="nil"/>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注：本表反映部门本年度取得的各项收入情况。</w:t>
            </w:r>
          </w:p>
        </w:tc>
      </w:tr>
    </w:tbl>
    <w:p w:rsidR="000C3650" w:rsidRDefault="00B938AF">
      <w:r>
        <w:rPr>
          <w:noProof/>
        </w:rPr>
        <w:lastRenderedPageBreak/>
        <w:drawing>
          <wp:inline distT="0" distB="0" distL="0" distR="0">
            <wp:extent cx="9109710" cy="417639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srcRect/>
                    <a:stretch>
                      <a:fillRect/>
                    </a:stretch>
                  </pic:blipFill>
                  <pic:spPr bwMode="auto">
                    <a:xfrm>
                      <a:off x="0" y="0"/>
                      <a:ext cx="9109710" cy="4176395"/>
                    </a:xfrm>
                    <a:prstGeom prst="rect">
                      <a:avLst/>
                    </a:prstGeom>
                    <a:noFill/>
                    <a:ln w="9525" cmpd="sng">
                      <a:noFill/>
                      <a:miter lim="800000"/>
                      <a:headEnd/>
                      <a:tailEnd/>
                    </a:ln>
                    <a:effectLst/>
                  </pic:spPr>
                </pic:pic>
              </a:graphicData>
            </a:graphic>
          </wp:inline>
        </w:drawing>
      </w:r>
    </w:p>
    <w:p w:rsidR="000C3650" w:rsidRDefault="000C3650"/>
    <w:p w:rsidR="000C3650" w:rsidRDefault="000C3650"/>
    <w:p w:rsidR="000C3650" w:rsidRDefault="000C3650"/>
    <w:p w:rsidR="000C3650" w:rsidRDefault="000C3650"/>
    <w:p w:rsidR="000C3650" w:rsidRDefault="000C3650"/>
    <w:tbl>
      <w:tblPr>
        <w:tblW w:w="5000" w:type="pct"/>
        <w:tblLook w:val="0000"/>
      </w:tblPr>
      <w:tblGrid>
        <w:gridCol w:w="3258"/>
        <w:gridCol w:w="527"/>
        <w:gridCol w:w="1322"/>
        <w:gridCol w:w="3683"/>
        <w:gridCol w:w="527"/>
        <w:gridCol w:w="908"/>
        <w:gridCol w:w="1321"/>
        <w:gridCol w:w="1104"/>
        <w:gridCol w:w="1524"/>
      </w:tblGrid>
      <w:tr w:rsidR="000C3650">
        <w:trPr>
          <w:trHeight w:val="390"/>
        </w:trPr>
        <w:tc>
          <w:tcPr>
            <w:tcW w:w="5000" w:type="pct"/>
            <w:gridSpan w:val="9"/>
            <w:tcBorders>
              <w:top w:val="nil"/>
              <w:left w:val="nil"/>
              <w:bottom w:val="nil"/>
              <w:right w:val="nil"/>
            </w:tcBorders>
            <w:noWrap/>
            <w:vAlign w:val="bottom"/>
          </w:tcPr>
          <w:p w:rsidR="000C3650" w:rsidRDefault="00350081">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财政拨款收入支出决算总表</w:t>
            </w:r>
          </w:p>
        </w:tc>
      </w:tr>
      <w:tr w:rsidR="000C3650">
        <w:trPr>
          <w:trHeight w:val="255"/>
        </w:trPr>
        <w:tc>
          <w:tcPr>
            <w:tcW w:w="1135"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79"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457"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284"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79"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313"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457"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378"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613" w:type="pct"/>
            <w:tcBorders>
              <w:top w:val="nil"/>
              <w:left w:val="nil"/>
              <w:bottom w:val="nil"/>
              <w:right w:val="nil"/>
            </w:tcBorders>
            <w:noWrap/>
            <w:vAlign w:val="bottom"/>
          </w:tcPr>
          <w:p w:rsidR="000C3650" w:rsidRDefault="0035008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公开04表</w:t>
            </w:r>
          </w:p>
        </w:tc>
      </w:tr>
      <w:tr w:rsidR="000C3650">
        <w:trPr>
          <w:trHeight w:val="255"/>
        </w:trPr>
        <w:tc>
          <w:tcPr>
            <w:tcW w:w="1135" w:type="pct"/>
            <w:tcBorders>
              <w:top w:val="nil"/>
              <w:left w:val="nil"/>
              <w:bottom w:val="nil"/>
              <w:right w:val="nil"/>
            </w:tcBorders>
            <w:noWrap/>
            <w:vAlign w:val="bottom"/>
          </w:tcPr>
          <w:p w:rsidR="000C3650" w:rsidRDefault="0035008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部门：庄河市营商环境建设局</w:t>
            </w:r>
          </w:p>
        </w:tc>
        <w:tc>
          <w:tcPr>
            <w:tcW w:w="179"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457"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284"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79"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313"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457"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378"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613" w:type="pct"/>
            <w:tcBorders>
              <w:top w:val="nil"/>
              <w:left w:val="nil"/>
              <w:bottom w:val="nil"/>
              <w:right w:val="nil"/>
            </w:tcBorders>
            <w:noWrap/>
            <w:vAlign w:val="bottom"/>
          </w:tcPr>
          <w:p w:rsidR="000C3650" w:rsidRDefault="0035008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C3650">
        <w:trPr>
          <w:trHeight w:val="363"/>
        </w:trPr>
        <w:tc>
          <w:tcPr>
            <w:tcW w:w="1772"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收     入</w:t>
            </w:r>
          </w:p>
        </w:tc>
        <w:tc>
          <w:tcPr>
            <w:tcW w:w="3227" w:type="pct"/>
            <w:gridSpan w:val="6"/>
            <w:tcBorders>
              <w:top w:val="single" w:sz="4" w:space="0" w:color="000000"/>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支     出</w:t>
            </w:r>
          </w:p>
        </w:tc>
      </w:tr>
      <w:tr w:rsidR="000C3650">
        <w:trPr>
          <w:trHeight w:val="363"/>
        </w:trPr>
        <w:tc>
          <w:tcPr>
            <w:tcW w:w="1135" w:type="pct"/>
            <w:vMerge w:val="restart"/>
            <w:tcBorders>
              <w:top w:val="nil"/>
              <w:left w:val="single" w:sz="4" w:space="0" w:color="000000"/>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79"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457"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1284"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79"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13" w:type="pct"/>
            <w:vMerge w:val="restar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457"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378"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c>
          <w:tcPr>
            <w:tcW w:w="613"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国有资本经营预算财政拨款</w:t>
            </w:r>
          </w:p>
        </w:tc>
      </w:tr>
      <w:tr w:rsidR="000C3650">
        <w:trPr>
          <w:trHeight w:val="363"/>
        </w:trPr>
        <w:tc>
          <w:tcPr>
            <w:tcW w:w="1135" w:type="pct"/>
            <w:vMerge/>
            <w:tcBorders>
              <w:top w:val="nil"/>
              <w:left w:val="single" w:sz="4" w:space="0" w:color="000000"/>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79"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457"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284"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79"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313" w:type="pct"/>
            <w:vMerge/>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457"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378"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613"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457"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457"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78"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613"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w:t>
            </w: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356.67</w:t>
            </w: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313"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c>
          <w:tcPr>
            <w:tcW w:w="457"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三、国有资本经营财政拨款</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313"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457"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313"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457"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313"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457"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b/>
                <w:bCs/>
                <w:color w:val="000000"/>
                <w:sz w:val="20"/>
                <w:szCs w:val="20"/>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0"/>
                <w:szCs w:val="20"/>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0"/>
                <w:szCs w:val="20"/>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二十六、抗</w:t>
            </w:r>
            <w:proofErr w:type="gramStart"/>
            <w:r>
              <w:rPr>
                <w:rFonts w:ascii="宋体" w:hAnsi="宋体" w:cs="宋体" w:hint="eastAsia"/>
                <w:color w:val="000000"/>
                <w:kern w:val="0"/>
                <w:sz w:val="22"/>
              </w:rPr>
              <w:t>疫</w:t>
            </w:r>
            <w:proofErr w:type="gramEnd"/>
            <w:r>
              <w:rPr>
                <w:rFonts w:ascii="宋体" w:hAnsi="宋体" w:cs="宋体" w:hint="eastAsia"/>
                <w:color w:val="000000"/>
                <w:kern w:val="0"/>
                <w:sz w:val="22"/>
              </w:rPr>
              <w:t>特别国债安排的支出</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本年收入合计</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356.67</w:t>
            </w: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本年支出合计</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313"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385.97</w:t>
            </w:r>
          </w:p>
        </w:tc>
        <w:tc>
          <w:tcPr>
            <w:tcW w:w="457"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385.97</w:t>
            </w: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29.30</w:t>
            </w: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一般公共预算财政拨款</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29.30</w:t>
            </w: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政府性基金预算财政拨款</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国有资本经营预算财政拨款</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0C3650">
            <w:pPr>
              <w:jc w:val="right"/>
              <w:rPr>
                <w:rFonts w:ascii="宋体" w:hAnsi="宋体" w:cs="宋体"/>
                <w:color w:val="000000"/>
                <w:sz w:val="22"/>
              </w:rPr>
            </w:pP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0C3650">
            <w:pPr>
              <w:jc w:val="left"/>
              <w:rPr>
                <w:rFonts w:ascii="宋体" w:hAnsi="宋体" w:cs="宋体"/>
                <w:color w:val="000000"/>
                <w:sz w:val="22"/>
              </w:rPr>
            </w:pP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3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457"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1135" w:type="pct"/>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457" w:type="pct"/>
            <w:tcBorders>
              <w:top w:val="nil"/>
              <w:left w:val="nil"/>
              <w:bottom w:val="single" w:sz="4" w:space="0" w:color="000000"/>
              <w:right w:val="single" w:sz="4" w:space="0" w:color="000000"/>
            </w:tcBorders>
            <w:shd w:val="clear" w:color="auto" w:fill="auto"/>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385.97</w:t>
            </w:r>
          </w:p>
        </w:tc>
        <w:tc>
          <w:tcPr>
            <w:tcW w:w="1284"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17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313"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385.97</w:t>
            </w:r>
          </w:p>
        </w:tc>
        <w:tc>
          <w:tcPr>
            <w:tcW w:w="457"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385.97</w:t>
            </w:r>
          </w:p>
        </w:tc>
        <w:tc>
          <w:tcPr>
            <w:tcW w:w="378"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c>
          <w:tcPr>
            <w:tcW w:w="613"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63"/>
        </w:trPr>
        <w:tc>
          <w:tcPr>
            <w:tcW w:w="4386" w:type="pct"/>
            <w:gridSpan w:val="8"/>
            <w:tcBorders>
              <w:top w:val="nil"/>
              <w:left w:val="nil"/>
              <w:bottom w:val="nil"/>
              <w:right w:val="nil"/>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注：本表反映部门本年度一般公共预算财政拨款、政府性基金预算财政拨款和国有资本经营预算财政拨款的总收支和年末结转结余情况。</w:t>
            </w:r>
          </w:p>
        </w:tc>
        <w:tc>
          <w:tcPr>
            <w:tcW w:w="613" w:type="pct"/>
            <w:tcBorders>
              <w:top w:val="nil"/>
              <w:left w:val="nil"/>
              <w:bottom w:val="nil"/>
              <w:right w:val="nil"/>
            </w:tcBorders>
            <w:noWrap/>
            <w:vAlign w:val="center"/>
          </w:tcPr>
          <w:p w:rsidR="000C3650" w:rsidRDefault="000C3650">
            <w:pPr>
              <w:jc w:val="left"/>
              <w:rPr>
                <w:rFonts w:ascii="宋体" w:hAnsi="宋体" w:cs="宋体"/>
                <w:color w:val="000000"/>
                <w:sz w:val="20"/>
                <w:szCs w:val="20"/>
              </w:rPr>
            </w:pPr>
          </w:p>
        </w:tc>
      </w:tr>
    </w:tbl>
    <w:p w:rsidR="000C3650" w:rsidRDefault="000C3650"/>
    <w:tbl>
      <w:tblPr>
        <w:tblW w:w="5000" w:type="pct"/>
        <w:tblLook w:val="0000"/>
      </w:tblPr>
      <w:tblGrid>
        <w:gridCol w:w="3420"/>
        <w:gridCol w:w="266"/>
        <w:gridCol w:w="272"/>
        <w:gridCol w:w="4802"/>
        <w:gridCol w:w="1471"/>
        <w:gridCol w:w="1471"/>
        <w:gridCol w:w="2472"/>
      </w:tblGrid>
      <w:tr w:rsidR="000C3650">
        <w:trPr>
          <w:trHeight w:val="390"/>
        </w:trPr>
        <w:tc>
          <w:tcPr>
            <w:tcW w:w="5000" w:type="pct"/>
            <w:gridSpan w:val="7"/>
            <w:tcBorders>
              <w:top w:val="nil"/>
              <w:left w:val="nil"/>
              <w:bottom w:val="nil"/>
              <w:right w:val="nil"/>
            </w:tcBorders>
            <w:noWrap/>
            <w:vAlign w:val="bottom"/>
          </w:tcPr>
          <w:p w:rsidR="000C3650" w:rsidRDefault="00350081">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一般公共预算财政拨款支出决算表</w:t>
            </w:r>
          </w:p>
        </w:tc>
      </w:tr>
      <w:tr w:rsidR="000C3650">
        <w:trPr>
          <w:trHeight w:val="255"/>
        </w:trPr>
        <w:tc>
          <w:tcPr>
            <w:tcW w:w="1206"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94"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94"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694"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519"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519"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869" w:type="pct"/>
            <w:tcBorders>
              <w:top w:val="nil"/>
              <w:left w:val="nil"/>
              <w:bottom w:val="nil"/>
              <w:right w:val="nil"/>
            </w:tcBorders>
            <w:noWrap/>
            <w:vAlign w:val="bottom"/>
          </w:tcPr>
          <w:p w:rsidR="000C3650" w:rsidRDefault="0035008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公开05表</w:t>
            </w:r>
          </w:p>
        </w:tc>
      </w:tr>
      <w:tr w:rsidR="000C3650">
        <w:trPr>
          <w:trHeight w:val="255"/>
        </w:trPr>
        <w:tc>
          <w:tcPr>
            <w:tcW w:w="1206" w:type="pct"/>
            <w:tcBorders>
              <w:top w:val="nil"/>
              <w:left w:val="nil"/>
              <w:bottom w:val="nil"/>
              <w:right w:val="nil"/>
            </w:tcBorders>
            <w:noWrap/>
            <w:vAlign w:val="bottom"/>
          </w:tcPr>
          <w:p w:rsidR="000C3650" w:rsidRDefault="0035008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部门：庄河市营商环境建设局</w:t>
            </w:r>
          </w:p>
        </w:tc>
        <w:tc>
          <w:tcPr>
            <w:tcW w:w="94"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94"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1694"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519"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519" w:type="pct"/>
            <w:tcBorders>
              <w:top w:val="nil"/>
              <w:left w:val="nil"/>
              <w:bottom w:val="nil"/>
              <w:right w:val="nil"/>
            </w:tcBorders>
            <w:noWrap/>
            <w:vAlign w:val="bottom"/>
          </w:tcPr>
          <w:p w:rsidR="000C3650" w:rsidRDefault="000C3650">
            <w:pPr>
              <w:rPr>
                <w:rFonts w:ascii="Arial" w:hAnsi="Arial" w:cs="Arial"/>
                <w:color w:val="000000"/>
                <w:sz w:val="20"/>
                <w:szCs w:val="20"/>
              </w:rPr>
            </w:pPr>
          </w:p>
        </w:tc>
        <w:tc>
          <w:tcPr>
            <w:tcW w:w="869" w:type="pct"/>
            <w:tcBorders>
              <w:top w:val="nil"/>
              <w:left w:val="nil"/>
              <w:bottom w:val="nil"/>
              <w:right w:val="nil"/>
            </w:tcBorders>
            <w:noWrap/>
            <w:vAlign w:val="bottom"/>
          </w:tcPr>
          <w:p w:rsidR="000C3650" w:rsidRDefault="00350081">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0C3650">
        <w:trPr>
          <w:trHeight w:val="308"/>
        </w:trPr>
        <w:tc>
          <w:tcPr>
            <w:tcW w:w="3090"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909" w:type="pct"/>
            <w:gridSpan w:val="3"/>
            <w:tcBorders>
              <w:top w:val="single" w:sz="4" w:space="0" w:color="000000"/>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r>
      <w:tr w:rsidR="000C3650">
        <w:trPr>
          <w:trHeight w:val="312"/>
        </w:trPr>
        <w:tc>
          <w:tcPr>
            <w:tcW w:w="1396" w:type="pct"/>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1694" w:type="pct"/>
            <w:vMerge w:val="restar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519"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519"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869" w:type="pct"/>
            <w:vMerge w:val="restart"/>
            <w:tcBorders>
              <w:top w:val="nil"/>
              <w:left w:val="nil"/>
              <w:bottom w:val="single" w:sz="4" w:space="0" w:color="000000"/>
              <w:right w:val="single" w:sz="4" w:space="0" w:color="000000"/>
            </w:tcBorders>
            <w:shd w:val="clear" w:color="FFFFFF" w:fill="C0C0C0"/>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r>
      <w:tr w:rsidR="000C3650">
        <w:trPr>
          <w:trHeight w:val="312"/>
        </w:trPr>
        <w:tc>
          <w:tcPr>
            <w:tcW w:w="1396" w:type="pct"/>
            <w:gridSpan w:val="3"/>
            <w:vMerge/>
            <w:tcBorders>
              <w:top w:val="nil"/>
              <w:left w:val="single" w:sz="4" w:space="0" w:color="000000"/>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694" w:type="pct"/>
            <w:vMerge/>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519"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519"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869"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r>
      <w:tr w:rsidR="000C3650">
        <w:trPr>
          <w:trHeight w:val="312"/>
        </w:trPr>
        <w:tc>
          <w:tcPr>
            <w:tcW w:w="1396" w:type="pct"/>
            <w:gridSpan w:val="3"/>
            <w:vMerge/>
            <w:tcBorders>
              <w:top w:val="nil"/>
              <w:left w:val="single" w:sz="4" w:space="0" w:color="000000"/>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1694" w:type="pct"/>
            <w:vMerge/>
            <w:tcBorders>
              <w:top w:val="nil"/>
              <w:left w:val="nil"/>
              <w:bottom w:val="single" w:sz="4" w:space="0" w:color="000000"/>
              <w:right w:val="single" w:sz="4" w:space="0" w:color="000000"/>
            </w:tcBorders>
            <w:shd w:val="clear" w:color="FFFFFF" w:fill="C0C0C0"/>
            <w:noWrap/>
            <w:vAlign w:val="center"/>
          </w:tcPr>
          <w:p w:rsidR="000C3650" w:rsidRDefault="000C3650">
            <w:pPr>
              <w:jc w:val="center"/>
              <w:rPr>
                <w:rFonts w:ascii="宋体" w:hAnsi="宋体" w:cs="宋体"/>
                <w:color w:val="000000"/>
                <w:sz w:val="22"/>
              </w:rPr>
            </w:pPr>
          </w:p>
        </w:tc>
        <w:tc>
          <w:tcPr>
            <w:tcW w:w="519"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519"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c>
          <w:tcPr>
            <w:tcW w:w="869" w:type="pct"/>
            <w:vMerge/>
            <w:tcBorders>
              <w:top w:val="nil"/>
              <w:left w:val="nil"/>
              <w:bottom w:val="single" w:sz="4" w:space="0" w:color="000000"/>
              <w:right w:val="single" w:sz="4" w:space="0" w:color="000000"/>
            </w:tcBorders>
            <w:shd w:val="clear" w:color="FFFFFF" w:fill="C0C0C0"/>
            <w:vAlign w:val="center"/>
          </w:tcPr>
          <w:p w:rsidR="000C3650" w:rsidRDefault="000C3650">
            <w:pPr>
              <w:jc w:val="center"/>
              <w:rPr>
                <w:rFonts w:ascii="宋体" w:hAnsi="宋体" w:cs="宋体"/>
                <w:color w:val="000000"/>
                <w:sz w:val="22"/>
              </w:rPr>
            </w:pPr>
          </w:p>
        </w:tc>
      </w:tr>
      <w:tr w:rsidR="000C3650">
        <w:trPr>
          <w:trHeight w:val="308"/>
        </w:trPr>
        <w:tc>
          <w:tcPr>
            <w:tcW w:w="3090" w:type="pct"/>
            <w:gridSpan w:val="4"/>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51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51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69" w:type="pct"/>
            <w:tcBorders>
              <w:top w:val="nil"/>
              <w:left w:val="nil"/>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3</w:t>
            </w:r>
          </w:p>
        </w:tc>
      </w:tr>
      <w:tr w:rsidR="000C3650">
        <w:trPr>
          <w:trHeight w:val="308"/>
        </w:trPr>
        <w:tc>
          <w:tcPr>
            <w:tcW w:w="3090" w:type="pct"/>
            <w:gridSpan w:val="4"/>
            <w:tcBorders>
              <w:top w:val="nil"/>
              <w:left w:val="single" w:sz="4" w:space="0" w:color="000000"/>
              <w:bottom w:val="single" w:sz="4" w:space="0" w:color="000000"/>
              <w:right w:val="single" w:sz="4" w:space="0" w:color="000000"/>
            </w:tcBorders>
            <w:shd w:val="clear" w:color="FFFFFF" w:fill="C0C0C0"/>
            <w:noWrap/>
            <w:vAlign w:val="center"/>
          </w:tcPr>
          <w:p w:rsidR="000C3650" w:rsidRDefault="00350081">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b/>
                <w:bCs/>
                <w:color w:val="000000"/>
                <w:sz w:val="22"/>
              </w:rPr>
            </w:pPr>
            <w:r>
              <w:rPr>
                <w:rFonts w:ascii="宋体" w:hAnsi="宋体" w:cs="宋体" w:hint="eastAsia"/>
                <w:b/>
                <w:bCs/>
                <w:color w:val="000000"/>
                <w:kern w:val="0"/>
                <w:sz w:val="22"/>
              </w:rPr>
              <w:t>385.97</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b/>
                <w:bCs/>
                <w:color w:val="000000"/>
                <w:sz w:val="22"/>
              </w:rPr>
            </w:pPr>
            <w:r>
              <w:rPr>
                <w:rFonts w:ascii="宋体" w:hAnsi="宋体" w:cs="宋体" w:hint="eastAsia"/>
                <w:b/>
                <w:bCs/>
                <w:color w:val="000000"/>
                <w:kern w:val="0"/>
                <w:sz w:val="22"/>
              </w:rPr>
              <w:t>385.97</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b/>
                <w:bCs/>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20103</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政府办公厅（室）及相关机构事务</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2010306</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政务公开审批</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340.59</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13.10</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10.60</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2101101</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行政单位医疗</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5.40</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5.40</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2101103</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5.20</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5.20</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221</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住房保障支出</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22102</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21.68</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2210201</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11.10</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11.10</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1396" w:type="pct"/>
            <w:gridSpan w:val="3"/>
            <w:tcBorders>
              <w:top w:val="nil"/>
              <w:left w:val="single" w:sz="4" w:space="0" w:color="000000"/>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2210202</w:t>
            </w:r>
          </w:p>
        </w:tc>
        <w:tc>
          <w:tcPr>
            <w:tcW w:w="1694" w:type="pct"/>
            <w:tcBorders>
              <w:top w:val="nil"/>
              <w:left w:val="nil"/>
              <w:bottom w:val="single" w:sz="4" w:space="0" w:color="000000"/>
              <w:right w:val="single" w:sz="4" w:space="0" w:color="000000"/>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提租补贴</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10.58</w:t>
            </w:r>
          </w:p>
        </w:tc>
        <w:tc>
          <w:tcPr>
            <w:tcW w:w="519" w:type="pct"/>
            <w:tcBorders>
              <w:top w:val="nil"/>
              <w:left w:val="nil"/>
              <w:bottom w:val="single" w:sz="4" w:space="0" w:color="000000"/>
              <w:right w:val="single" w:sz="4" w:space="0" w:color="000000"/>
            </w:tcBorders>
            <w:noWrap/>
            <w:vAlign w:val="center"/>
          </w:tcPr>
          <w:p w:rsidR="000C3650" w:rsidRDefault="00350081">
            <w:pPr>
              <w:widowControl/>
              <w:jc w:val="right"/>
              <w:textAlignment w:val="center"/>
              <w:rPr>
                <w:rFonts w:ascii="宋体" w:hAnsi="宋体" w:cs="宋体"/>
                <w:color w:val="000000"/>
                <w:sz w:val="22"/>
              </w:rPr>
            </w:pPr>
            <w:r>
              <w:rPr>
                <w:rFonts w:ascii="宋体" w:hAnsi="宋体" w:cs="宋体" w:hint="eastAsia"/>
                <w:color w:val="000000"/>
                <w:kern w:val="0"/>
                <w:sz w:val="22"/>
              </w:rPr>
              <w:t>10.58</w:t>
            </w:r>
          </w:p>
        </w:tc>
        <w:tc>
          <w:tcPr>
            <w:tcW w:w="869" w:type="pct"/>
            <w:tcBorders>
              <w:top w:val="nil"/>
              <w:left w:val="nil"/>
              <w:bottom w:val="single" w:sz="4" w:space="0" w:color="000000"/>
              <w:right w:val="single" w:sz="4" w:space="0" w:color="000000"/>
            </w:tcBorders>
            <w:noWrap/>
            <w:vAlign w:val="center"/>
          </w:tcPr>
          <w:p w:rsidR="000C3650" w:rsidRDefault="000C3650">
            <w:pPr>
              <w:jc w:val="right"/>
              <w:rPr>
                <w:rFonts w:ascii="宋体" w:hAnsi="宋体" w:cs="宋体"/>
                <w:color w:val="000000"/>
                <w:sz w:val="22"/>
              </w:rPr>
            </w:pPr>
          </w:p>
        </w:tc>
      </w:tr>
      <w:tr w:rsidR="000C3650">
        <w:trPr>
          <w:trHeight w:val="308"/>
        </w:trPr>
        <w:tc>
          <w:tcPr>
            <w:tcW w:w="5000" w:type="pct"/>
            <w:gridSpan w:val="7"/>
            <w:tcBorders>
              <w:top w:val="nil"/>
              <w:left w:val="nil"/>
              <w:bottom w:val="nil"/>
              <w:right w:val="nil"/>
            </w:tcBorders>
            <w:noWrap/>
            <w:vAlign w:val="center"/>
          </w:tcPr>
          <w:p w:rsidR="000C3650" w:rsidRDefault="00350081">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注：本表反映部门本年度一般公共预算财政拨款支出情况。</w:t>
            </w:r>
          </w:p>
        </w:tc>
      </w:tr>
    </w:tbl>
    <w:p w:rsidR="000C3650" w:rsidRDefault="000C3650"/>
    <w:p w:rsidR="000C3650" w:rsidRDefault="00B938AF">
      <w:r>
        <w:rPr>
          <w:noProof/>
        </w:rPr>
        <w:lastRenderedPageBreak/>
        <w:drawing>
          <wp:inline distT="0" distB="0" distL="0" distR="0">
            <wp:extent cx="8863965" cy="520001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cstate="print"/>
                    <a:srcRect/>
                    <a:stretch>
                      <a:fillRect/>
                    </a:stretch>
                  </pic:blipFill>
                  <pic:spPr bwMode="auto">
                    <a:xfrm>
                      <a:off x="0" y="0"/>
                      <a:ext cx="8863965" cy="5200015"/>
                    </a:xfrm>
                    <a:prstGeom prst="rect">
                      <a:avLst/>
                    </a:prstGeom>
                    <a:noFill/>
                    <a:ln w="9525" cmpd="sng">
                      <a:noFill/>
                      <a:miter lim="800000"/>
                      <a:headEnd/>
                      <a:tailEnd/>
                    </a:ln>
                  </pic:spPr>
                </pic:pic>
              </a:graphicData>
            </a:graphic>
          </wp:inline>
        </w:drawing>
      </w:r>
    </w:p>
    <w:p w:rsidR="000C3650" w:rsidRDefault="00B938AF">
      <w:r>
        <w:rPr>
          <w:noProof/>
        </w:rPr>
        <w:lastRenderedPageBreak/>
        <w:drawing>
          <wp:inline distT="0" distB="0" distL="0" distR="0">
            <wp:extent cx="8857615" cy="1746885"/>
            <wp:effectExtent l="19050" t="0" r="63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srcRect/>
                    <a:stretch>
                      <a:fillRect/>
                    </a:stretch>
                  </pic:blipFill>
                  <pic:spPr bwMode="auto">
                    <a:xfrm>
                      <a:off x="0" y="0"/>
                      <a:ext cx="8857615" cy="1746885"/>
                    </a:xfrm>
                    <a:prstGeom prst="rect">
                      <a:avLst/>
                    </a:prstGeom>
                    <a:noFill/>
                    <a:ln w="9525" cmpd="sng">
                      <a:noFill/>
                      <a:miter lim="800000"/>
                      <a:headEnd/>
                      <a:tailEnd/>
                    </a:ln>
                  </pic:spPr>
                </pic:pic>
              </a:graphicData>
            </a:graphic>
          </wp:inline>
        </w:drawing>
      </w:r>
    </w:p>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B938AF">
      <w:r>
        <w:rPr>
          <w:noProof/>
        </w:rPr>
        <w:lastRenderedPageBreak/>
        <w:drawing>
          <wp:inline distT="0" distB="0" distL="0" distR="0">
            <wp:extent cx="8761730" cy="2804795"/>
            <wp:effectExtent l="19050" t="0" r="127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srcRect/>
                    <a:stretch>
                      <a:fillRect/>
                    </a:stretch>
                  </pic:blipFill>
                  <pic:spPr bwMode="auto">
                    <a:xfrm>
                      <a:off x="0" y="0"/>
                      <a:ext cx="8761730" cy="2804795"/>
                    </a:xfrm>
                    <a:prstGeom prst="rect">
                      <a:avLst/>
                    </a:prstGeom>
                    <a:noFill/>
                    <a:ln w="9525" cmpd="sng">
                      <a:noFill/>
                      <a:miter lim="800000"/>
                      <a:headEnd/>
                      <a:tailEnd/>
                    </a:ln>
                  </pic:spPr>
                </pic:pic>
              </a:graphicData>
            </a:graphic>
          </wp:inline>
        </w:drawing>
      </w:r>
    </w:p>
    <w:p w:rsidR="000C3650" w:rsidRDefault="00626D85">
      <w:r>
        <w:rPr>
          <w:rFonts w:hint="eastAsia"/>
        </w:rPr>
        <w:t xml:space="preserve">    </w:t>
      </w:r>
      <w:r>
        <w:rPr>
          <w:rFonts w:hint="eastAsia"/>
        </w:rPr>
        <w:t>此表为空表。</w:t>
      </w:r>
    </w:p>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0C3650" w:rsidRDefault="000C3650"/>
    <w:p w:rsidR="00626D85" w:rsidRDefault="00B938AF">
      <w:r>
        <w:rPr>
          <w:noProof/>
        </w:rPr>
        <w:lastRenderedPageBreak/>
        <w:drawing>
          <wp:inline distT="0" distB="0" distL="0" distR="0">
            <wp:extent cx="6632575" cy="3200400"/>
            <wp:effectExtent l="19050" t="0" r="0"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srcRect/>
                    <a:stretch>
                      <a:fillRect/>
                    </a:stretch>
                  </pic:blipFill>
                  <pic:spPr bwMode="auto">
                    <a:xfrm>
                      <a:off x="0" y="0"/>
                      <a:ext cx="6632575" cy="3200400"/>
                    </a:xfrm>
                    <a:prstGeom prst="rect">
                      <a:avLst/>
                    </a:prstGeom>
                    <a:noFill/>
                    <a:ln w="9525" cmpd="sng">
                      <a:noFill/>
                      <a:miter lim="800000"/>
                      <a:headEnd/>
                      <a:tailEnd/>
                    </a:ln>
                    <a:effectLst/>
                  </pic:spPr>
                </pic:pic>
              </a:graphicData>
            </a:graphic>
          </wp:inline>
        </w:drawing>
      </w:r>
    </w:p>
    <w:p w:rsidR="00350081" w:rsidRPr="00626D85" w:rsidRDefault="00626D85" w:rsidP="00626D85">
      <w:pPr>
        <w:ind w:firstLineChars="200" w:firstLine="420"/>
      </w:pPr>
      <w:r>
        <w:rPr>
          <w:rFonts w:hint="eastAsia"/>
        </w:rPr>
        <w:t xml:space="preserve"> </w:t>
      </w:r>
      <w:r>
        <w:rPr>
          <w:rFonts w:hint="eastAsia"/>
        </w:rPr>
        <w:t>此表为空表</w:t>
      </w:r>
    </w:p>
    <w:sectPr w:rsidR="00350081" w:rsidRPr="00626D85" w:rsidSect="000C3650">
      <w:pgSz w:w="16838" w:h="11906" w:orient="landscape"/>
      <w:pgMar w:top="1797" w:right="1440" w:bottom="1797" w:left="1440"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45D" w:rsidRDefault="0088245D">
      <w:r>
        <w:separator/>
      </w:r>
    </w:p>
  </w:endnote>
  <w:endnote w:type="continuationSeparator" w:id="0">
    <w:p w:rsidR="0088245D" w:rsidRDefault="00882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Default="000C3650">
    <w:pPr>
      <w:pStyle w:val="a5"/>
      <w:jc w:val="center"/>
    </w:pPr>
    <w:r>
      <w:fldChar w:fldCharType="begin"/>
    </w:r>
    <w:r w:rsidR="00350081">
      <w:instrText>PAGE   \* MERGEFORMAT</w:instrText>
    </w:r>
    <w:r>
      <w:fldChar w:fldCharType="separate"/>
    </w:r>
    <w:r w:rsidR="004F12D8" w:rsidRPr="004F12D8">
      <w:rPr>
        <w:noProof/>
        <w:lang w:val="zh-CN"/>
      </w:rPr>
      <w:t>-</w:t>
    </w:r>
    <w:r w:rsidR="004F12D8">
      <w:rPr>
        <w:noProof/>
      </w:rPr>
      <w:t xml:space="preserve"> 1 -</w:t>
    </w:r>
    <w:r>
      <w:fldChar w:fldCharType="end"/>
    </w:r>
  </w:p>
  <w:p w:rsidR="000C3650" w:rsidRDefault="000C3650">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Default="000C3650">
    <w:pPr>
      <w:pStyle w:val="a5"/>
      <w:jc w:val="center"/>
    </w:pPr>
    <w:r>
      <w:fldChar w:fldCharType="begin"/>
    </w:r>
    <w:r w:rsidR="00350081">
      <w:instrText xml:space="preserve"> PAGE   \* MERGEFORMAT </w:instrText>
    </w:r>
    <w:r>
      <w:fldChar w:fldCharType="separate"/>
    </w:r>
    <w:r w:rsidR="00391F40" w:rsidRPr="00391F40">
      <w:rPr>
        <w:noProof/>
        <w:lang w:val="zh-CN"/>
      </w:rPr>
      <w:t>-</w:t>
    </w:r>
    <w:r w:rsidR="00391F40">
      <w:rPr>
        <w:noProof/>
      </w:rPr>
      <w:t xml:space="preserve"> 13 -</w:t>
    </w:r>
    <w:r>
      <w:fldChar w:fldCharType="end"/>
    </w:r>
  </w:p>
  <w:p w:rsidR="000C3650" w:rsidRDefault="000C365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45D" w:rsidRDefault="0088245D">
      <w:r>
        <w:separator/>
      </w:r>
    </w:p>
  </w:footnote>
  <w:footnote w:type="continuationSeparator" w:id="0">
    <w:p w:rsidR="0088245D" w:rsidRDefault="00882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0" w:rsidRDefault="000C365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E27C1"/>
    <w:multiLevelType w:val="multilevel"/>
    <w:tmpl w:val="722E27C1"/>
    <w:lvl w:ilvl="0">
      <w:start w:val="1"/>
      <w:numFmt w:val="japaneseCounting"/>
      <w:pStyle w:val="1"/>
      <w:lvlText w:val="第%1章"/>
      <w:lvlJc w:val="left"/>
      <w:pPr>
        <w:tabs>
          <w:tab w:val="num" w:pos="3199"/>
        </w:tabs>
        <w:ind w:left="3199" w:hanging="720"/>
      </w:pPr>
    </w:lvl>
    <w:lvl w:ilvl="1">
      <w:start w:val="1"/>
      <w:numFmt w:val="decimal"/>
      <w:pStyle w:val="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efaultTabStop w:val="420"/>
  <w:consecutiveHyphenLimit w:val="46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YWE1ZGI0MTViNzg3ZDg3ZTAzYzY4YjU1NWRiNzIifQ=="/>
  </w:docVars>
  <w:rsids>
    <w:rsidRoot w:val="00172A27"/>
    <w:rsid w:val="000010A2"/>
    <w:rsid w:val="00002988"/>
    <w:rsid w:val="00002ED2"/>
    <w:rsid w:val="00003679"/>
    <w:rsid w:val="000064FD"/>
    <w:rsid w:val="00006C3B"/>
    <w:rsid w:val="00007041"/>
    <w:rsid w:val="000101D4"/>
    <w:rsid w:val="00012850"/>
    <w:rsid w:val="00013533"/>
    <w:rsid w:val="00014C61"/>
    <w:rsid w:val="0001593A"/>
    <w:rsid w:val="000165D1"/>
    <w:rsid w:val="00020097"/>
    <w:rsid w:val="000208A2"/>
    <w:rsid w:val="00023598"/>
    <w:rsid w:val="00031247"/>
    <w:rsid w:val="0003212E"/>
    <w:rsid w:val="00033121"/>
    <w:rsid w:val="00033C55"/>
    <w:rsid w:val="00035E5A"/>
    <w:rsid w:val="00035EAA"/>
    <w:rsid w:val="0003612C"/>
    <w:rsid w:val="00037B07"/>
    <w:rsid w:val="0004198D"/>
    <w:rsid w:val="00041AC9"/>
    <w:rsid w:val="00041C89"/>
    <w:rsid w:val="00043425"/>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0A8"/>
    <w:rsid w:val="00067A55"/>
    <w:rsid w:val="0007013D"/>
    <w:rsid w:val="000704AA"/>
    <w:rsid w:val="00070783"/>
    <w:rsid w:val="00071B13"/>
    <w:rsid w:val="00072FED"/>
    <w:rsid w:val="00073F78"/>
    <w:rsid w:val="00080808"/>
    <w:rsid w:val="000826F2"/>
    <w:rsid w:val="0008408C"/>
    <w:rsid w:val="000903AC"/>
    <w:rsid w:val="0009084B"/>
    <w:rsid w:val="000912FA"/>
    <w:rsid w:val="00091E55"/>
    <w:rsid w:val="0009385E"/>
    <w:rsid w:val="00093A8F"/>
    <w:rsid w:val="000958A6"/>
    <w:rsid w:val="000958D6"/>
    <w:rsid w:val="000979C9"/>
    <w:rsid w:val="00097DB9"/>
    <w:rsid w:val="000A171F"/>
    <w:rsid w:val="000A22AD"/>
    <w:rsid w:val="000A3E0F"/>
    <w:rsid w:val="000A45C4"/>
    <w:rsid w:val="000A52AA"/>
    <w:rsid w:val="000A5BA5"/>
    <w:rsid w:val="000A5FBE"/>
    <w:rsid w:val="000A6877"/>
    <w:rsid w:val="000A78EC"/>
    <w:rsid w:val="000B1A3C"/>
    <w:rsid w:val="000B4E9B"/>
    <w:rsid w:val="000B50DE"/>
    <w:rsid w:val="000B6FD7"/>
    <w:rsid w:val="000B7F8A"/>
    <w:rsid w:val="000C3650"/>
    <w:rsid w:val="000C4733"/>
    <w:rsid w:val="000C4DA0"/>
    <w:rsid w:val="000C676E"/>
    <w:rsid w:val="000C708D"/>
    <w:rsid w:val="000C7E6D"/>
    <w:rsid w:val="000D0016"/>
    <w:rsid w:val="000D06BF"/>
    <w:rsid w:val="000D0979"/>
    <w:rsid w:val="000D19D0"/>
    <w:rsid w:val="000D28FB"/>
    <w:rsid w:val="000D4BFC"/>
    <w:rsid w:val="000D5C06"/>
    <w:rsid w:val="000D5F94"/>
    <w:rsid w:val="000D5FC4"/>
    <w:rsid w:val="000D7C36"/>
    <w:rsid w:val="000E08EF"/>
    <w:rsid w:val="000E0A17"/>
    <w:rsid w:val="000E10BE"/>
    <w:rsid w:val="000E1828"/>
    <w:rsid w:val="000E2408"/>
    <w:rsid w:val="000E5A63"/>
    <w:rsid w:val="000E6A47"/>
    <w:rsid w:val="000F1D18"/>
    <w:rsid w:val="000F2423"/>
    <w:rsid w:val="000F3A07"/>
    <w:rsid w:val="000F4017"/>
    <w:rsid w:val="000F4E6E"/>
    <w:rsid w:val="00103478"/>
    <w:rsid w:val="001036F6"/>
    <w:rsid w:val="00103D6C"/>
    <w:rsid w:val="00103EBF"/>
    <w:rsid w:val="00103FF4"/>
    <w:rsid w:val="00105AE8"/>
    <w:rsid w:val="00106893"/>
    <w:rsid w:val="00106DF4"/>
    <w:rsid w:val="0011056D"/>
    <w:rsid w:val="001108C6"/>
    <w:rsid w:val="00112D6D"/>
    <w:rsid w:val="00113470"/>
    <w:rsid w:val="0011478A"/>
    <w:rsid w:val="00116421"/>
    <w:rsid w:val="00122900"/>
    <w:rsid w:val="00122C3E"/>
    <w:rsid w:val="00127BE9"/>
    <w:rsid w:val="00127ED4"/>
    <w:rsid w:val="00130627"/>
    <w:rsid w:val="0013064E"/>
    <w:rsid w:val="00131018"/>
    <w:rsid w:val="00131FD8"/>
    <w:rsid w:val="00132A6F"/>
    <w:rsid w:val="00132F7F"/>
    <w:rsid w:val="00136A4E"/>
    <w:rsid w:val="00136B2A"/>
    <w:rsid w:val="00140021"/>
    <w:rsid w:val="00141D03"/>
    <w:rsid w:val="00141F0E"/>
    <w:rsid w:val="00142799"/>
    <w:rsid w:val="0014303B"/>
    <w:rsid w:val="00143A17"/>
    <w:rsid w:val="00143AD4"/>
    <w:rsid w:val="0014461E"/>
    <w:rsid w:val="001446B1"/>
    <w:rsid w:val="00145F3F"/>
    <w:rsid w:val="00146084"/>
    <w:rsid w:val="0014660F"/>
    <w:rsid w:val="001479AA"/>
    <w:rsid w:val="001508EE"/>
    <w:rsid w:val="001515AA"/>
    <w:rsid w:val="001534D6"/>
    <w:rsid w:val="00153ABE"/>
    <w:rsid w:val="001554E0"/>
    <w:rsid w:val="00156432"/>
    <w:rsid w:val="00157839"/>
    <w:rsid w:val="0016209F"/>
    <w:rsid w:val="0016220D"/>
    <w:rsid w:val="001633A7"/>
    <w:rsid w:val="00164147"/>
    <w:rsid w:val="001656C0"/>
    <w:rsid w:val="00170587"/>
    <w:rsid w:val="0017273E"/>
    <w:rsid w:val="00172A27"/>
    <w:rsid w:val="00172F09"/>
    <w:rsid w:val="001766FA"/>
    <w:rsid w:val="001769B1"/>
    <w:rsid w:val="00176A90"/>
    <w:rsid w:val="00180D9A"/>
    <w:rsid w:val="00183ED7"/>
    <w:rsid w:val="00186F8E"/>
    <w:rsid w:val="001872EB"/>
    <w:rsid w:val="00191774"/>
    <w:rsid w:val="00191A67"/>
    <w:rsid w:val="00194642"/>
    <w:rsid w:val="00195455"/>
    <w:rsid w:val="0019579F"/>
    <w:rsid w:val="001966A6"/>
    <w:rsid w:val="001968DB"/>
    <w:rsid w:val="001A07BB"/>
    <w:rsid w:val="001A1F2C"/>
    <w:rsid w:val="001A3BE8"/>
    <w:rsid w:val="001A5EFD"/>
    <w:rsid w:val="001B0DFF"/>
    <w:rsid w:val="001B11F6"/>
    <w:rsid w:val="001B26E7"/>
    <w:rsid w:val="001B3D4C"/>
    <w:rsid w:val="001B4775"/>
    <w:rsid w:val="001B7C79"/>
    <w:rsid w:val="001C1F26"/>
    <w:rsid w:val="001C3948"/>
    <w:rsid w:val="001C47B5"/>
    <w:rsid w:val="001C62E9"/>
    <w:rsid w:val="001E067D"/>
    <w:rsid w:val="001E1779"/>
    <w:rsid w:val="001E3486"/>
    <w:rsid w:val="001E34DB"/>
    <w:rsid w:val="001E44A8"/>
    <w:rsid w:val="001E5F9A"/>
    <w:rsid w:val="001E7A2B"/>
    <w:rsid w:val="001E7BB7"/>
    <w:rsid w:val="001E7F2A"/>
    <w:rsid w:val="001F089A"/>
    <w:rsid w:val="001F189C"/>
    <w:rsid w:val="001F190C"/>
    <w:rsid w:val="001F28D4"/>
    <w:rsid w:val="001F3273"/>
    <w:rsid w:val="001F5B1E"/>
    <w:rsid w:val="001F62A6"/>
    <w:rsid w:val="001F67C6"/>
    <w:rsid w:val="001F6BEB"/>
    <w:rsid w:val="002013A7"/>
    <w:rsid w:val="00204081"/>
    <w:rsid w:val="0020409B"/>
    <w:rsid w:val="00206707"/>
    <w:rsid w:val="002103CF"/>
    <w:rsid w:val="002108C7"/>
    <w:rsid w:val="00210D32"/>
    <w:rsid w:val="00214C1E"/>
    <w:rsid w:val="002165D2"/>
    <w:rsid w:val="002203AE"/>
    <w:rsid w:val="00220AAF"/>
    <w:rsid w:val="00221D71"/>
    <w:rsid w:val="002228A3"/>
    <w:rsid w:val="00223685"/>
    <w:rsid w:val="00223C4E"/>
    <w:rsid w:val="00225BB8"/>
    <w:rsid w:val="00227812"/>
    <w:rsid w:val="002314E8"/>
    <w:rsid w:val="00231A4A"/>
    <w:rsid w:val="002344B4"/>
    <w:rsid w:val="00234FBA"/>
    <w:rsid w:val="00235B04"/>
    <w:rsid w:val="00237C89"/>
    <w:rsid w:val="0024009E"/>
    <w:rsid w:val="002407B5"/>
    <w:rsid w:val="0024300B"/>
    <w:rsid w:val="0024343A"/>
    <w:rsid w:val="00245D8A"/>
    <w:rsid w:val="00245EFC"/>
    <w:rsid w:val="00247373"/>
    <w:rsid w:val="002479C8"/>
    <w:rsid w:val="00253A2A"/>
    <w:rsid w:val="00254711"/>
    <w:rsid w:val="00254B2C"/>
    <w:rsid w:val="0025636D"/>
    <w:rsid w:val="0026183C"/>
    <w:rsid w:val="002619FB"/>
    <w:rsid w:val="00262C38"/>
    <w:rsid w:val="00263261"/>
    <w:rsid w:val="00270260"/>
    <w:rsid w:val="002704C9"/>
    <w:rsid w:val="00272684"/>
    <w:rsid w:val="002736F7"/>
    <w:rsid w:val="00273C49"/>
    <w:rsid w:val="0027491C"/>
    <w:rsid w:val="00276C4D"/>
    <w:rsid w:val="0027713E"/>
    <w:rsid w:val="00277371"/>
    <w:rsid w:val="00280B87"/>
    <w:rsid w:val="0028405E"/>
    <w:rsid w:val="00285D63"/>
    <w:rsid w:val="0028633A"/>
    <w:rsid w:val="00286DC8"/>
    <w:rsid w:val="0029203B"/>
    <w:rsid w:val="00292A6E"/>
    <w:rsid w:val="00293D9E"/>
    <w:rsid w:val="00294309"/>
    <w:rsid w:val="0029507A"/>
    <w:rsid w:val="00296A54"/>
    <w:rsid w:val="002A30F6"/>
    <w:rsid w:val="002B0E91"/>
    <w:rsid w:val="002B4FF1"/>
    <w:rsid w:val="002B5132"/>
    <w:rsid w:val="002B7DCF"/>
    <w:rsid w:val="002C332A"/>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5E1"/>
    <w:rsid w:val="00307829"/>
    <w:rsid w:val="00311EDB"/>
    <w:rsid w:val="0031266F"/>
    <w:rsid w:val="0031389F"/>
    <w:rsid w:val="00321432"/>
    <w:rsid w:val="003225E3"/>
    <w:rsid w:val="00322C22"/>
    <w:rsid w:val="003251C0"/>
    <w:rsid w:val="00325745"/>
    <w:rsid w:val="00335376"/>
    <w:rsid w:val="00336006"/>
    <w:rsid w:val="0033725B"/>
    <w:rsid w:val="00341AF7"/>
    <w:rsid w:val="0034360F"/>
    <w:rsid w:val="00344132"/>
    <w:rsid w:val="00345385"/>
    <w:rsid w:val="003459F6"/>
    <w:rsid w:val="00345F2B"/>
    <w:rsid w:val="00346621"/>
    <w:rsid w:val="00350081"/>
    <w:rsid w:val="003509C9"/>
    <w:rsid w:val="00351D77"/>
    <w:rsid w:val="00353451"/>
    <w:rsid w:val="0035377F"/>
    <w:rsid w:val="003544FF"/>
    <w:rsid w:val="00354B78"/>
    <w:rsid w:val="003618C7"/>
    <w:rsid w:val="00361DE7"/>
    <w:rsid w:val="00363304"/>
    <w:rsid w:val="00363F02"/>
    <w:rsid w:val="00364532"/>
    <w:rsid w:val="00374A62"/>
    <w:rsid w:val="00376E08"/>
    <w:rsid w:val="00380C62"/>
    <w:rsid w:val="00380D67"/>
    <w:rsid w:val="003816B7"/>
    <w:rsid w:val="00382637"/>
    <w:rsid w:val="0038380C"/>
    <w:rsid w:val="003854B6"/>
    <w:rsid w:val="00387CF1"/>
    <w:rsid w:val="00391C97"/>
    <w:rsid w:val="00391F40"/>
    <w:rsid w:val="00393705"/>
    <w:rsid w:val="00395102"/>
    <w:rsid w:val="00396604"/>
    <w:rsid w:val="00397453"/>
    <w:rsid w:val="0039774D"/>
    <w:rsid w:val="003A01E9"/>
    <w:rsid w:val="003A124D"/>
    <w:rsid w:val="003A2371"/>
    <w:rsid w:val="003A27A9"/>
    <w:rsid w:val="003A306E"/>
    <w:rsid w:val="003A374B"/>
    <w:rsid w:val="003A3E6F"/>
    <w:rsid w:val="003A47C6"/>
    <w:rsid w:val="003A4F06"/>
    <w:rsid w:val="003A7A87"/>
    <w:rsid w:val="003B30B1"/>
    <w:rsid w:val="003B4921"/>
    <w:rsid w:val="003B5A5E"/>
    <w:rsid w:val="003B7339"/>
    <w:rsid w:val="003C1187"/>
    <w:rsid w:val="003C154D"/>
    <w:rsid w:val="003C22A3"/>
    <w:rsid w:val="003C5D5A"/>
    <w:rsid w:val="003D0978"/>
    <w:rsid w:val="003D105F"/>
    <w:rsid w:val="003D4416"/>
    <w:rsid w:val="003D531D"/>
    <w:rsid w:val="003D5845"/>
    <w:rsid w:val="003E0101"/>
    <w:rsid w:val="003E1866"/>
    <w:rsid w:val="003E29F6"/>
    <w:rsid w:val="003E4344"/>
    <w:rsid w:val="003E4DE5"/>
    <w:rsid w:val="003E5047"/>
    <w:rsid w:val="003E6663"/>
    <w:rsid w:val="003E6DF2"/>
    <w:rsid w:val="003E788C"/>
    <w:rsid w:val="003F4BF2"/>
    <w:rsid w:val="003F6045"/>
    <w:rsid w:val="003F7E1E"/>
    <w:rsid w:val="00402F78"/>
    <w:rsid w:val="0040496A"/>
    <w:rsid w:val="00404C24"/>
    <w:rsid w:val="0041179B"/>
    <w:rsid w:val="004120F9"/>
    <w:rsid w:val="00413296"/>
    <w:rsid w:val="004137D5"/>
    <w:rsid w:val="00413BA4"/>
    <w:rsid w:val="00413BD6"/>
    <w:rsid w:val="00414CCC"/>
    <w:rsid w:val="004207EA"/>
    <w:rsid w:val="00425053"/>
    <w:rsid w:val="00427FED"/>
    <w:rsid w:val="004302CC"/>
    <w:rsid w:val="00431953"/>
    <w:rsid w:val="00432C0A"/>
    <w:rsid w:val="00434279"/>
    <w:rsid w:val="004343EE"/>
    <w:rsid w:val="00434CF0"/>
    <w:rsid w:val="00435B1C"/>
    <w:rsid w:val="00436762"/>
    <w:rsid w:val="00436DA8"/>
    <w:rsid w:val="00437475"/>
    <w:rsid w:val="00441ECE"/>
    <w:rsid w:val="004432A1"/>
    <w:rsid w:val="004434E7"/>
    <w:rsid w:val="004442FE"/>
    <w:rsid w:val="004555F7"/>
    <w:rsid w:val="00457B7A"/>
    <w:rsid w:val="00463D8B"/>
    <w:rsid w:val="00464C8F"/>
    <w:rsid w:val="00465A04"/>
    <w:rsid w:val="00465D76"/>
    <w:rsid w:val="00470E43"/>
    <w:rsid w:val="00470F08"/>
    <w:rsid w:val="00471C78"/>
    <w:rsid w:val="004721E6"/>
    <w:rsid w:val="00473D4F"/>
    <w:rsid w:val="00474D24"/>
    <w:rsid w:val="00482129"/>
    <w:rsid w:val="0048515D"/>
    <w:rsid w:val="00485D5A"/>
    <w:rsid w:val="00487291"/>
    <w:rsid w:val="00487460"/>
    <w:rsid w:val="00487BEB"/>
    <w:rsid w:val="004922ED"/>
    <w:rsid w:val="00492643"/>
    <w:rsid w:val="00493622"/>
    <w:rsid w:val="00494E13"/>
    <w:rsid w:val="004A0B67"/>
    <w:rsid w:val="004A1499"/>
    <w:rsid w:val="004A3478"/>
    <w:rsid w:val="004A4DAA"/>
    <w:rsid w:val="004B292F"/>
    <w:rsid w:val="004B5BEE"/>
    <w:rsid w:val="004B6C28"/>
    <w:rsid w:val="004C0988"/>
    <w:rsid w:val="004C0EF4"/>
    <w:rsid w:val="004C1E66"/>
    <w:rsid w:val="004C3207"/>
    <w:rsid w:val="004C3858"/>
    <w:rsid w:val="004D2C36"/>
    <w:rsid w:val="004D2E66"/>
    <w:rsid w:val="004D48D2"/>
    <w:rsid w:val="004D4B0D"/>
    <w:rsid w:val="004D6F06"/>
    <w:rsid w:val="004E025D"/>
    <w:rsid w:val="004E4347"/>
    <w:rsid w:val="004E7251"/>
    <w:rsid w:val="004E73AE"/>
    <w:rsid w:val="004F09FD"/>
    <w:rsid w:val="004F0B57"/>
    <w:rsid w:val="004F12D8"/>
    <w:rsid w:val="004F194C"/>
    <w:rsid w:val="004F4944"/>
    <w:rsid w:val="004F4BD8"/>
    <w:rsid w:val="004F722A"/>
    <w:rsid w:val="00502343"/>
    <w:rsid w:val="0050294D"/>
    <w:rsid w:val="005032A6"/>
    <w:rsid w:val="00503879"/>
    <w:rsid w:val="00504423"/>
    <w:rsid w:val="0050534A"/>
    <w:rsid w:val="005054CA"/>
    <w:rsid w:val="00507E84"/>
    <w:rsid w:val="00507FE6"/>
    <w:rsid w:val="0051029E"/>
    <w:rsid w:val="00510E8D"/>
    <w:rsid w:val="00511828"/>
    <w:rsid w:val="00511D3B"/>
    <w:rsid w:val="00511E18"/>
    <w:rsid w:val="00511E57"/>
    <w:rsid w:val="00512004"/>
    <w:rsid w:val="00512B25"/>
    <w:rsid w:val="00514A4F"/>
    <w:rsid w:val="005151B6"/>
    <w:rsid w:val="00515CF5"/>
    <w:rsid w:val="00516F29"/>
    <w:rsid w:val="00516FDA"/>
    <w:rsid w:val="00517756"/>
    <w:rsid w:val="00520884"/>
    <w:rsid w:val="00520BE3"/>
    <w:rsid w:val="00524E6D"/>
    <w:rsid w:val="00527D79"/>
    <w:rsid w:val="00533A58"/>
    <w:rsid w:val="005357B4"/>
    <w:rsid w:val="00535A17"/>
    <w:rsid w:val="00535F61"/>
    <w:rsid w:val="005408B6"/>
    <w:rsid w:val="00542E35"/>
    <w:rsid w:val="005442E5"/>
    <w:rsid w:val="005446B5"/>
    <w:rsid w:val="00544BF2"/>
    <w:rsid w:val="00545F63"/>
    <w:rsid w:val="00553F8F"/>
    <w:rsid w:val="00554946"/>
    <w:rsid w:val="00555346"/>
    <w:rsid w:val="005560DA"/>
    <w:rsid w:val="00556B86"/>
    <w:rsid w:val="005571D0"/>
    <w:rsid w:val="00560667"/>
    <w:rsid w:val="00562E03"/>
    <w:rsid w:val="0056370D"/>
    <w:rsid w:val="005644D5"/>
    <w:rsid w:val="005665B2"/>
    <w:rsid w:val="00566CF7"/>
    <w:rsid w:val="00566DE7"/>
    <w:rsid w:val="00567288"/>
    <w:rsid w:val="00567F01"/>
    <w:rsid w:val="00571038"/>
    <w:rsid w:val="0057107D"/>
    <w:rsid w:val="005713E6"/>
    <w:rsid w:val="0057315A"/>
    <w:rsid w:val="00574E3B"/>
    <w:rsid w:val="00580D6D"/>
    <w:rsid w:val="0058120C"/>
    <w:rsid w:val="005816F8"/>
    <w:rsid w:val="00582341"/>
    <w:rsid w:val="0058360B"/>
    <w:rsid w:val="0058566C"/>
    <w:rsid w:val="00586371"/>
    <w:rsid w:val="0059093C"/>
    <w:rsid w:val="005932A7"/>
    <w:rsid w:val="00596EF9"/>
    <w:rsid w:val="005979E1"/>
    <w:rsid w:val="005979E4"/>
    <w:rsid w:val="00597D5D"/>
    <w:rsid w:val="005A0518"/>
    <w:rsid w:val="005A27E9"/>
    <w:rsid w:val="005A2D7C"/>
    <w:rsid w:val="005A49AB"/>
    <w:rsid w:val="005A57FB"/>
    <w:rsid w:val="005B0B3A"/>
    <w:rsid w:val="005B1441"/>
    <w:rsid w:val="005B46B8"/>
    <w:rsid w:val="005B4833"/>
    <w:rsid w:val="005C1A05"/>
    <w:rsid w:val="005C46F6"/>
    <w:rsid w:val="005C64CC"/>
    <w:rsid w:val="005D4C55"/>
    <w:rsid w:val="005D55CA"/>
    <w:rsid w:val="005D7C49"/>
    <w:rsid w:val="005E0BCB"/>
    <w:rsid w:val="005E10A1"/>
    <w:rsid w:val="005E14D1"/>
    <w:rsid w:val="005E4687"/>
    <w:rsid w:val="005E4B94"/>
    <w:rsid w:val="005E7B00"/>
    <w:rsid w:val="005F0A33"/>
    <w:rsid w:val="005F1AED"/>
    <w:rsid w:val="005F76C0"/>
    <w:rsid w:val="006002E8"/>
    <w:rsid w:val="00600344"/>
    <w:rsid w:val="00601472"/>
    <w:rsid w:val="00602B15"/>
    <w:rsid w:val="00606C5B"/>
    <w:rsid w:val="00610435"/>
    <w:rsid w:val="00612CE0"/>
    <w:rsid w:val="006132C0"/>
    <w:rsid w:val="00615A27"/>
    <w:rsid w:val="0061795B"/>
    <w:rsid w:val="006220CA"/>
    <w:rsid w:val="0062372B"/>
    <w:rsid w:val="00626937"/>
    <w:rsid w:val="00626D85"/>
    <w:rsid w:val="00627C90"/>
    <w:rsid w:val="00630105"/>
    <w:rsid w:val="00631754"/>
    <w:rsid w:val="0063448D"/>
    <w:rsid w:val="0063511A"/>
    <w:rsid w:val="0063561F"/>
    <w:rsid w:val="00635E93"/>
    <w:rsid w:val="006376A5"/>
    <w:rsid w:val="00640C33"/>
    <w:rsid w:val="00640F31"/>
    <w:rsid w:val="00641563"/>
    <w:rsid w:val="00642292"/>
    <w:rsid w:val="006450EA"/>
    <w:rsid w:val="006462F5"/>
    <w:rsid w:val="0064731C"/>
    <w:rsid w:val="0064784E"/>
    <w:rsid w:val="00647AFD"/>
    <w:rsid w:val="006515E0"/>
    <w:rsid w:val="00653036"/>
    <w:rsid w:val="00657016"/>
    <w:rsid w:val="00657230"/>
    <w:rsid w:val="00657383"/>
    <w:rsid w:val="00657BC8"/>
    <w:rsid w:val="00662A32"/>
    <w:rsid w:val="0066370F"/>
    <w:rsid w:val="00663A92"/>
    <w:rsid w:val="00664827"/>
    <w:rsid w:val="00665F63"/>
    <w:rsid w:val="0066776E"/>
    <w:rsid w:val="006701A0"/>
    <w:rsid w:val="00671768"/>
    <w:rsid w:val="00671AE6"/>
    <w:rsid w:val="00672FEE"/>
    <w:rsid w:val="00673AD5"/>
    <w:rsid w:val="00677858"/>
    <w:rsid w:val="006811DF"/>
    <w:rsid w:val="00684933"/>
    <w:rsid w:val="00685512"/>
    <w:rsid w:val="006863B9"/>
    <w:rsid w:val="00686771"/>
    <w:rsid w:val="0068711A"/>
    <w:rsid w:val="00690628"/>
    <w:rsid w:val="00693EE0"/>
    <w:rsid w:val="00694E36"/>
    <w:rsid w:val="006955D4"/>
    <w:rsid w:val="00697C41"/>
    <w:rsid w:val="006A12B3"/>
    <w:rsid w:val="006A14EA"/>
    <w:rsid w:val="006A1E39"/>
    <w:rsid w:val="006B2B70"/>
    <w:rsid w:val="006B2BF8"/>
    <w:rsid w:val="006B4161"/>
    <w:rsid w:val="006B5701"/>
    <w:rsid w:val="006B6FEF"/>
    <w:rsid w:val="006B7AB8"/>
    <w:rsid w:val="006C132F"/>
    <w:rsid w:val="006C1BB7"/>
    <w:rsid w:val="006C6A9C"/>
    <w:rsid w:val="006C6D80"/>
    <w:rsid w:val="006C79D8"/>
    <w:rsid w:val="006D2039"/>
    <w:rsid w:val="006D607B"/>
    <w:rsid w:val="006D779F"/>
    <w:rsid w:val="006D78BB"/>
    <w:rsid w:val="006D7E31"/>
    <w:rsid w:val="006E477E"/>
    <w:rsid w:val="006E5C32"/>
    <w:rsid w:val="006E6E2C"/>
    <w:rsid w:val="006E7B8B"/>
    <w:rsid w:val="006F19A0"/>
    <w:rsid w:val="006F1B15"/>
    <w:rsid w:val="006F2704"/>
    <w:rsid w:val="006F7034"/>
    <w:rsid w:val="00701E27"/>
    <w:rsid w:val="00701E32"/>
    <w:rsid w:val="00704C61"/>
    <w:rsid w:val="007055D9"/>
    <w:rsid w:val="00705669"/>
    <w:rsid w:val="00706E08"/>
    <w:rsid w:val="00710EF3"/>
    <w:rsid w:val="00711701"/>
    <w:rsid w:val="00713CB1"/>
    <w:rsid w:val="00717003"/>
    <w:rsid w:val="0072067E"/>
    <w:rsid w:val="00723235"/>
    <w:rsid w:val="00723B0B"/>
    <w:rsid w:val="007242B7"/>
    <w:rsid w:val="0072626D"/>
    <w:rsid w:val="00730B0B"/>
    <w:rsid w:val="00734051"/>
    <w:rsid w:val="00735856"/>
    <w:rsid w:val="0073637A"/>
    <w:rsid w:val="00737FFA"/>
    <w:rsid w:val="00740376"/>
    <w:rsid w:val="00740E03"/>
    <w:rsid w:val="00743163"/>
    <w:rsid w:val="0074470D"/>
    <w:rsid w:val="00747592"/>
    <w:rsid w:val="007476FC"/>
    <w:rsid w:val="00747D81"/>
    <w:rsid w:val="00750890"/>
    <w:rsid w:val="00751B27"/>
    <w:rsid w:val="00751BDD"/>
    <w:rsid w:val="00754673"/>
    <w:rsid w:val="00760A80"/>
    <w:rsid w:val="007616FE"/>
    <w:rsid w:val="00763ED7"/>
    <w:rsid w:val="00764471"/>
    <w:rsid w:val="00765002"/>
    <w:rsid w:val="00766DD3"/>
    <w:rsid w:val="007673FF"/>
    <w:rsid w:val="007706CB"/>
    <w:rsid w:val="007721FB"/>
    <w:rsid w:val="00773C26"/>
    <w:rsid w:val="00775230"/>
    <w:rsid w:val="007772D8"/>
    <w:rsid w:val="00777883"/>
    <w:rsid w:val="00780072"/>
    <w:rsid w:val="00782AD5"/>
    <w:rsid w:val="007832B8"/>
    <w:rsid w:val="00783329"/>
    <w:rsid w:val="00784315"/>
    <w:rsid w:val="007843D6"/>
    <w:rsid w:val="00787084"/>
    <w:rsid w:val="00792264"/>
    <w:rsid w:val="00793282"/>
    <w:rsid w:val="007939B0"/>
    <w:rsid w:val="00794237"/>
    <w:rsid w:val="00796E78"/>
    <w:rsid w:val="007975EA"/>
    <w:rsid w:val="007A57D2"/>
    <w:rsid w:val="007A5E08"/>
    <w:rsid w:val="007A5EF7"/>
    <w:rsid w:val="007A64F9"/>
    <w:rsid w:val="007A6E80"/>
    <w:rsid w:val="007B19DF"/>
    <w:rsid w:val="007B35AC"/>
    <w:rsid w:val="007B7938"/>
    <w:rsid w:val="007C14DD"/>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66F"/>
    <w:rsid w:val="007F5F6A"/>
    <w:rsid w:val="00802FD7"/>
    <w:rsid w:val="008074D9"/>
    <w:rsid w:val="008118BE"/>
    <w:rsid w:val="00811912"/>
    <w:rsid w:val="00812348"/>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FB6"/>
    <w:rsid w:val="008353EA"/>
    <w:rsid w:val="00837639"/>
    <w:rsid w:val="00841494"/>
    <w:rsid w:val="00842925"/>
    <w:rsid w:val="00843515"/>
    <w:rsid w:val="00843975"/>
    <w:rsid w:val="008444BF"/>
    <w:rsid w:val="00845B06"/>
    <w:rsid w:val="00847F47"/>
    <w:rsid w:val="00851A4E"/>
    <w:rsid w:val="00852544"/>
    <w:rsid w:val="00852B32"/>
    <w:rsid w:val="00853594"/>
    <w:rsid w:val="00853BBE"/>
    <w:rsid w:val="00857852"/>
    <w:rsid w:val="00857BC1"/>
    <w:rsid w:val="008602DE"/>
    <w:rsid w:val="0086180E"/>
    <w:rsid w:val="00861CC3"/>
    <w:rsid w:val="00862D79"/>
    <w:rsid w:val="00863971"/>
    <w:rsid w:val="00864356"/>
    <w:rsid w:val="00865B30"/>
    <w:rsid w:val="00866537"/>
    <w:rsid w:val="0087020F"/>
    <w:rsid w:val="008709A5"/>
    <w:rsid w:val="00872E96"/>
    <w:rsid w:val="00872EFC"/>
    <w:rsid w:val="00874A64"/>
    <w:rsid w:val="00875BDF"/>
    <w:rsid w:val="00875D28"/>
    <w:rsid w:val="00880E3C"/>
    <w:rsid w:val="00881CCA"/>
    <w:rsid w:val="00881EE3"/>
    <w:rsid w:val="0088245D"/>
    <w:rsid w:val="00882CF2"/>
    <w:rsid w:val="00886A88"/>
    <w:rsid w:val="008877EB"/>
    <w:rsid w:val="00887876"/>
    <w:rsid w:val="00887E15"/>
    <w:rsid w:val="00890D85"/>
    <w:rsid w:val="0089101C"/>
    <w:rsid w:val="0089104E"/>
    <w:rsid w:val="0089136E"/>
    <w:rsid w:val="008938B7"/>
    <w:rsid w:val="00893D65"/>
    <w:rsid w:val="00894812"/>
    <w:rsid w:val="00896059"/>
    <w:rsid w:val="008968D4"/>
    <w:rsid w:val="00896A95"/>
    <w:rsid w:val="008A2669"/>
    <w:rsid w:val="008A3F4B"/>
    <w:rsid w:val="008A7E1E"/>
    <w:rsid w:val="008B0453"/>
    <w:rsid w:val="008B169B"/>
    <w:rsid w:val="008B5871"/>
    <w:rsid w:val="008B58B0"/>
    <w:rsid w:val="008C06C0"/>
    <w:rsid w:val="008C20DC"/>
    <w:rsid w:val="008C3947"/>
    <w:rsid w:val="008C5680"/>
    <w:rsid w:val="008C6E1D"/>
    <w:rsid w:val="008C720F"/>
    <w:rsid w:val="008D026A"/>
    <w:rsid w:val="008D2819"/>
    <w:rsid w:val="008D385C"/>
    <w:rsid w:val="008E058C"/>
    <w:rsid w:val="008E3365"/>
    <w:rsid w:val="008E4209"/>
    <w:rsid w:val="008E42EB"/>
    <w:rsid w:val="008E4602"/>
    <w:rsid w:val="008E532E"/>
    <w:rsid w:val="008E6027"/>
    <w:rsid w:val="008F10A6"/>
    <w:rsid w:val="008F424C"/>
    <w:rsid w:val="008F4E32"/>
    <w:rsid w:val="009003B1"/>
    <w:rsid w:val="0090049A"/>
    <w:rsid w:val="00901744"/>
    <w:rsid w:val="009018DD"/>
    <w:rsid w:val="009059F9"/>
    <w:rsid w:val="00905D53"/>
    <w:rsid w:val="009061D4"/>
    <w:rsid w:val="009118CC"/>
    <w:rsid w:val="0091359E"/>
    <w:rsid w:val="00915436"/>
    <w:rsid w:val="0091625A"/>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372F7"/>
    <w:rsid w:val="0094125D"/>
    <w:rsid w:val="0094251D"/>
    <w:rsid w:val="00945C4B"/>
    <w:rsid w:val="0095099B"/>
    <w:rsid w:val="00951E4A"/>
    <w:rsid w:val="009554F5"/>
    <w:rsid w:val="00955A1C"/>
    <w:rsid w:val="00960308"/>
    <w:rsid w:val="0096092F"/>
    <w:rsid w:val="00960FE8"/>
    <w:rsid w:val="00964857"/>
    <w:rsid w:val="0096578D"/>
    <w:rsid w:val="00970741"/>
    <w:rsid w:val="00971353"/>
    <w:rsid w:val="009720A1"/>
    <w:rsid w:val="00973745"/>
    <w:rsid w:val="009758FE"/>
    <w:rsid w:val="0097670C"/>
    <w:rsid w:val="00980455"/>
    <w:rsid w:val="0098128D"/>
    <w:rsid w:val="009825CB"/>
    <w:rsid w:val="00984E70"/>
    <w:rsid w:val="009868C1"/>
    <w:rsid w:val="00986A09"/>
    <w:rsid w:val="00986B56"/>
    <w:rsid w:val="00987371"/>
    <w:rsid w:val="00987F3D"/>
    <w:rsid w:val="00992A59"/>
    <w:rsid w:val="00992B45"/>
    <w:rsid w:val="00992E3C"/>
    <w:rsid w:val="00993CE7"/>
    <w:rsid w:val="009945B6"/>
    <w:rsid w:val="0099474C"/>
    <w:rsid w:val="00994907"/>
    <w:rsid w:val="009951C0"/>
    <w:rsid w:val="0099686B"/>
    <w:rsid w:val="009973E0"/>
    <w:rsid w:val="009A481D"/>
    <w:rsid w:val="009B0B5D"/>
    <w:rsid w:val="009B11CA"/>
    <w:rsid w:val="009B3814"/>
    <w:rsid w:val="009B3ECF"/>
    <w:rsid w:val="009B7A61"/>
    <w:rsid w:val="009B7F6F"/>
    <w:rsid w:val="009C248A"/>
    <w:rsid w:val="009C3894"/>
    <w:rsid w:val="009C56BA"/>
    <w:rsid w:val="009C693E"/>
    <w:rsid w:val="009D1777"/>
    <w:rsid w:val="009D22B3"/>
    <w:rsid w:val="009D2A9C"/>
    <w:rsid w:val="009D556F"/>
    <w:rsid w:val="009D5EDF"/>
    <w:rsid w:val="009D6B9C"/>
    <w:rsid w:val="009E0CC5"/>
    <w:rsid w:val="009E18CB"/>
    <w:rsid w:val="009E2216"/>
    <w:rsid w:val="009E2960"/>
    <w:rsid w:val="009E38CC"/>
    <w:rsid w:val="009E43EF"/>
    <w:rsid w:val="009E4C54"/>
    <w:rsid w:val="009E5E8B"/>
    <w:rsid w:val="009E6908"/>
    <w:rsid w:val="009F1866"/>
    <w:rsid w:val="009F1EC4"/>
    <w:rsid w:val="009F1F64"/>
    <w:rsid w:val="009F4158"/>
    <w:rsid w:val="009F542D"/>
    <w:rsid w:val="009F54AC"/>
    <w:rsid w:val="009F78C2"/>
    <w:rsid w:val="00A035DF"/>
    <w:rsid w:val="00A046A6"/>
    <w:rsid w:val="00A04EFA"/>
    <w:rsid w:val="00A07F3E"/>
    <w:rsid w:val="00A12D46"/>
    <w:rsid w:val="00A12E42"/>
    <w:rsid w:val="00A12FBE"/>
    <w:rsid w:val="00A13CA0"/>
    <w:rsid w:val="00A15F0D"/>
    <w:rsid w:val="00A15F13"/>
    <w:rsid w:val="00A207F3"/>
    <w:rsid w:val="00A216BB"/>
    <w:rsid w:val="00A22017"/>
    <w:rsid w:val="00A23F02"/>
    <w:rsid w:val="00A249EF"/>
    <w:rsid w:val="00A24B24"/>
    <w:rsid w:val="00A26C14"/>
    <w:rsid w:val="00A26D9C"/>
    <w:rsid w:val="00A31171"/>
    <w:rsid w:val="00A312B0"/>
    <w:rsid w:val="00A31937"/>
    <w:rsid w:val="00A31CAA"/>
    <w:rsid w:val="00A326F6"/>
    <w:rsid w:val="00A343D6"/>
    <w:rsid w:val="00A35C30"/>
    <w:rsid w:val="00A3618C"/>
    <w:rsid w:val="00A41328"/>
    <w:rsid w:val="00A429F8"/>
    <w:rsid w:val="00A44ECB"/>
    <w:rsid w:val="00A4509F"/>
    <w:rsid w:val="00A47BDA"/>
    <w:rsid w:val="00A50672"/>
    <w:rsid w:val="00A51602"/>
    <w:rsid w:val="00A524D0"/>
    <w:rsid w:val="00A52D73"/>
    <w:rsid w:val="00A575B6"/>
    <w:rsid w:val="00A60061"/>
    <w:rsid w:val="00A60229"/>
    <w:rsid w:val="00A60A1E"/>
    <w:rsid w:val="00A6250B"/>
    <w:rsid w:val="00A635FF"/>
    <w:rsid w:val="00A6493B"/>
    <w:rsid w:val="00A64946"/>
    <w:rsid w:val="00A64E4E"/>
    <w:rsid w:val="00A67674"/>
    <w:rsid w:val="00A7286A"/>
    <w:rsid w:val="00A72EA4"/>
    <w:rsid w:val="00A76008"/>
    <w:rsid w:val="00A762EB"/>
    <w:rsid w:val="00A7640D"/>
    <w:rsid w:val="00A807A7"/>
    <w:rsid w:val="00A807DD"/>
    <w:rsid w:val="00A853ED"/>
    <w:rsid w:val="00A85DE0"/>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46DF"/>
    <w:rsid w:val="00AD3D7B"/>
    <w:rsid w:val="00AD5158"/>
    <w:rsid w:val="00AD5A4A"/>
    <w:rsid w:val="00AD7056"/>
    <w:rsid w:val="00AD77E2"/>
    <w:rsid w:val="00AD78DF"/>
    <w:rsid w:val="00AE00C6"/>
    <w:rsid w:val="00AE0B41"/>
    <w:rsid w:val="00AE35CD"/>
    <w:rsid w:val="00AE52D1"/>
    <w:rsid w:val="00AE6937"/>
    <w:rsid w:val="00AE70CA"/>
    <w:rsid w:val="00AE725B"/>
    <w:rsid w:val="00AE7584"/>
    <w:rsid w:val="00AF1AD0"/>
    <w:rsid w:val="00AF27C6"/>
    <w:rsid w:val="00B00B01"/>
    <w:rsid w:val="00B014FD"/>
    <w:rsid w:val="00B036C7"/>
    <w:rsid w:val="00B0370B"/>
    <w:rsid w:val="00B068A3"/>
    <w:rsid w:val="00B06FF3"/>
    <w:rsid w:val="00B1067D"/>
    <w:rsid w:val="00B11312"/>
    <w:rsid w:val="00B11C7C"/>
    <w:rsid w:val="00B11D95"/>
    <w:rsid w:val="00B11EAB"/>
    <w:rsid w:val="00B12422"/>
    <w:rsid w:val="00B12F68"/>
    <w:rsid w:val="00B131AC"/>
    <w:rsid w:val="00B13ECC"/>
    <w:rsid w:val="00B17177"/>
    <w:rsid w:val="00B175C9"/>
    <w:rsid w:val="00B20D35"/>
    <w:rsid w:val="00B25DC6"/>
    <w:rsid w:val="00B272CD"/>
    <w:rsid w:val="00B31105"/>
    <w:rsid w:val="00B35DA3"/>
    <w:rsid w:val="00B35DE7"/>
    <w:rsid w:val="00B37CB6"/>
    <w:rsid w:val="00B405D1"/>
    <w:rsid w:val="00B42456"/>
    <w:rsid w:val="00B45EA2"/>
    <w:rsid w:val="00B46FD5"/>
    <w:rsid w:val="00B47395"/>
    <w:rsid w:val="00B508E6"/>
    <w:rsid w:val="00B510FF"/>
    <w:rsid w:val="00B51417"/>
    <w:rsid w:val="00B52BFD"/>
    <w:rsid w:val="00B54E06"/>
    <w:rsid w:val="00B55128"/>
    <w:rsid w:val="00B562CB"/>
    <w:rsid w:val="00B60700"/>
    <w:rsid w:val="00B648B0"/>
    <w:rsid w:val="00B64C37"/>
    <w:rsid w:val="00B65288"/>
    <w:rsid w:val="00B65E6D"/>
    <w:rsid w:val="00B67090"/>
    <w:rsid w:val="00B72149"/>
    <w:rsid w:val="00B74C4E"/>
    <w:rsid w:val="00B8070D"/>
    <w:rsid w:val="00B81164"/>
    <w:rsid w:val="00B81637"/>
    <w:rsid w:val="00B84181"/>
    <w:rsid w:val="00B85EC2"/>
    <w:rsid w:val="00B85F14"/>
    <w:rsid w:val="00B86999"/>
    <w:rsid w:val="00B90DD6"/>
    <w:rsid w:val="00B92306"/>
    <w:rsid w:val="00B9259A"/>
    <w:rsid w:val="00B9259F"/>
    <w:rsid w:val="00B92EC9"/>
    <w:rsid w:val="00B938AF"/>
    <w:rsid w:val="00B954A7"/>
    <w:rsid w:val="00B95E25"/>
    <w:rsid w:val="00B96D76"/>
    <w:rsid w:val="00BA0C80"/>
    <w:rsid w:val="00BA2283"/>
    <w:rsid w:val="00BA3C47"/>
    <w:rsid w:val="00BA7A21"/>
    <w:rsid w:val="00BB0B84"/>
    <w:rsid w:val="00BB0C0D"/>
    <w:rsid w:val="00BB1B7F"/>
    <w:rsid w:val="00BB3908"/>
    <w:rsid w:val="00BB47ED"/>
    <w:rsid w:val="00BC1A29"/>
    <w:rsid w:val="00BC241D"/>
    <w:rsid w:val="00BD0042"/>
    <w:rsid w:val="00BD059E"/>
    <w:rsid w:val="00BD20D8"/>
    <w:rsid w:val="00BD23EE"/>
    <w:rsid w:val="00BD4AEC"/>
    <w:rsid w:val="00BD63A2"/>
    <w:rsid w:val="00BD661F"/>
    <w:rsid w:val="00BD7F91"/>
    <w:rsid w:val="00BE08FA"/>
    <w:rsid w:val="00BE0C64"/>
    <w:rsid w:val="00BE2127"/>
    <w:rsid w:val="00BE29F3"/>
    <w:rsid w:val="00BE4344"/>
    <w:rsid w:val="00BE77D1"/>
    <w:rsid w:val="00BF0602"/>
    <w:rsid w:val="00BF12DF"/>
    <w:rsid w:val="00BF1933"/>
    <w:rsid w:val="00BF3AB7"/>
    <w:rsid w:val="00BF5BA5"/>
    <w:rsid w:val="00BF7D3E"/>
    <w:rsid w:val="00C005F4"/>
    <w:rsid w:val="00C042AF"/>
    <w:rsid w:val="00C044B3"/>
    <w:rsid w:val="00C04580"/>
    <w:rsid w:val="00C05D2A"/>
    <w:rsid w:val="00C06A05"/>
    <w:rsid w:val="00C10E14"/>
    <w:rsid w:val="00C140BE"/>
    <w:rsid w:val="00C14D35"/>
    <w:rsid w:val="00C16F9C"/>
    <w:rsid w:val="00C20635"/>
    <w:rsid w:val="00C209BD"/>
    <w:rsid w:val="00C221E9"/>
    <w:rsid w:val="00C245D7"/>
    <w:rsid w:val="00C24ECC"/>
    <w:rsid w:val="00C266D5"/>
    <w:rsid w:val="00C26A39"/>
    <w:rsid w:val="00C278B3"/>
    <w:rsid w:val="00C318A3"/>
    <w:rsid w:val="00C329D1"/>
    <w:rsid w:val="00C331AA"/>
    <w:rsid w:val="00C3370F"/>
    <w:rsid w:val="00C33A10"/>
    <w:rsid w:val="00C36EAB"/>
    <w:rsid w:val="00C37527"/>
    <w:rsid w:val="00C40443"/>
    <w:rsid w:val="00C41C42"/>
    <w:rsid w:val="00C41F67"/>
    <w:rsid w:val="00C43EA3"/>
    <w:rsid w:val="00C478C7"/>
    <w:rsid w:val="00C47B9A"/>
    <w:rsid w:val="00C50372"/>
    <w:rsid w:val="00C50FBD"/>
    <w:rsid w:val="00C5158D"/>
    <w:rsid w:val="00C53E30"/>
    <w:rsid w:val="00C54B8C"/>
    <w:rsid w:val="00C61DE7"/>
    <w:rsid w:val="00C63878"/>
    <w:rsid w:val="00C660F1"/>
    <w:rsid w:val="00C7080D"/>
    <w:rsid w:val="00C70F5C"/>
    <w:rsid w:val="00C717BC"/>
    <w:rsid w:val="00C718EC"/>
    <w:rsid w:val="00C720FD"/>
    <w:rsid w:val="00C722C5"/>
    <w:rsid w:val="00C73309"/>
    <w:rsid w:val="00C74D57"/>
    <w:rsid w:val="00C75827"/>
    <w:rsid w:val="00C771FA"/>
    <w:rsid w:val="00C85F61"/>
    <w:rsid w:val="00C86D24"/>
    <w:rsid w:val="00C90434"/>
    <w:rsid w:val="00C95048"/>
    <w:rsid w:val="00C959DA"/>
    <w:rsid w:val="00C96505"/>
    <w:rsid w:val="00C96A79"/>
    <w:rsid w:val="00CA3796"/>
    <w:rsid w:val="00CA56D0"/>
    <w:rsid w:val="00CA6924"/>
    <w:rsid w:val="00CB0D20"/>
    <w:rsid w:val="00CB1D8E"/>
    <w:rsid w:val="00CB4B5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E4EAA"/>
    <w:rsid w:val="00CE66FE"/>
    <w:rsid w:val="00CE6F9B"/>
    <w:rsid w:val="00CF08F6"/>
    <w:rsid w:val="00CF09BC"/>
    <w:rsid w:val="00CF348F"/>
    <w:rsid w:val="00CF3C29"/>
    <w:rsid w:val="00CF4508"/>
    <w:rsid w:val="00CF632D"/>
    <w:rsid w:val="00CF7AF6"/>
    <w:rsid w:val="00CF7E94"/>
    <w:rsid w:val="00D00D06"/>
    <w:rsid w:val="00D03123"/>
    <w:rsid w:val="00D0466B"/>
    <w:rsid w:val="00D10755"/>
    <w:rsid w:val="00D1159B"/>
    <w:rsid w:val="00D11CAB"/>
    <w:rsid w:val="00D11D37"/>
    <w:rsid w:val="00D120D2"/>
    <w:rsid w:val="00D150E8"/>
    <w:rsid w:val="00D15267"/>
    <w:rsid w:val="00D17431"/>
    <w:rsid w:val="00D17E00"/>
    <w:rsid w:val="00D20767"/>
    <w:rsid w:val="00D213AF"/>
    <w:rsid w:val="00D22F35"/>
    <w:rsid w:val="00D246EB"/>
    <w:rsid w:val="00D25E8E"/>
    <w:rsid w:val="00D25F1F"/>
    <w:rsid w:val="00D27621"/>
    <w:rsid w:val="00D27986"/>
    <w:rsid w:val="00D27F1F"/>
    <w:rsid w:val="00D303E6"/>
    <w:rsid w:val="00D3203C"/>
    <w:rsid w:val="00D331F9"/>
    <w:rsid w:val="00D37014"/>
    <w:rsid w:val="00D409F5"/>
    <w:rsid w:val="00D40CD3"/>
    <w:rsid w:val="00D40FE0"/>
    <w:rsid w:val="00D420B1"/>
    <w:rsid w:val="00D43462"/>
    <w:rsid w:val="00D43C55"/>
    <w:rsid w:val="00D43DB4"/>
    <w:rsid w:val="00D45DBF"/>
    <w:rsid w:val="00D478D4"/>
    <w:rsid w:val="00D50AD8"/>
    <w:rsid w:val="00D527B4"/>
    <w:rsid w:val="00D52E3D"/>
    <w:rsid w:val="00D60172"/>
    <w:rsid w:val="00D60591"/>
    <w:rsid w:val="00D60ECC"/>
    <w:rsid w:val="00D62869"/>
    <w:rsid w:val="00D62DE2"/>
    <w:rsid w:val="00D63C1F"/>
    <w:rsid w:val="00D655C0"/>
    <w:rsid w:val="00D66D73"/>
    <w:rsid w:val="00D67318"/>
    <w:rsid w:val="00D70012"/>
    <w:rsid w:val="00D712BF"/>
    <w:rsid w:val="00D72955"/>
    <w:rsid w:val="00D73958"/>
    <w:rsid w:val="00D754B7"/>
    <w:rsid w:val="00D80442"/>
    <w:rsid w:val="00D819A8"/>
    <w:rsid w:val="00D8304E"/>
    <w:rsid w:val="00D92C35"/>
    <w:rsid w:val="00D92DE2"/>
    <w:rsid w:val="00D93554"/>
    <w:rsid w:val="00D94882"/>
    <w:rsid w:val="00D95666"/>
    <w:rsid w:val="00D97DBD"/>
    <w:rsid w:val="00DA05D3"/>
    <w:rsid w:val="00DA2D65"/>
    <w:rsid w:val="00DA2DB1"/>
    <w:rsid w:val="00DA3A9A"/>
    <w:rsid w:val="00DA5DAA"/>
    <w:rsid w:val="00DA6114"/>
    <w:rsid w:val="00DA65FC"/>
    <w:rsid w:val="00DB03B0"/>
    <w:rsid w:val="00DB14E8"/>
    <w:rsid w:val="00DB1A99"/>
    <w:rsid w:val="00DB1B4E"/>
    <w:rsid w:val="00DB27EF"/>
    <w:rsid w:val="00DB340C"/>
    <w:rsid w:val="00DB417E"/>
    <w:rsid w:val="00DB64BB"/>
    <w:rsid w:val="00DC1753"/>
    <w:rsid w:val="00DC2433"/>
    <w:rsid w:val="00DC34DA"/>
    <w:rsid w:val="00DD0334"/>
    <w:rsid w:val="00DD05B0"/>
    <w:rsid w:val="00DD0CE1"/>
    <w:rsid w:val="00DD101C"/>
    <w:rsid w:val="00DD545F"/>
    <w:rsid w:val="00DD7EB6"/>
    <w:rsid w:val="00DD7FD5"/>
    <w:rsid w:val="00DE1AE2"/>
    <w:rsid w:val="00DE21F4"/>
    <w:rsid w:val="00DE2886"/>
    <w:rsid w:val="00DE2D3F"/>
    <w:rsid w:val="00DE68B8"/>
    <w:rsid w:val="00DF00FC"/>
    <w:rsid w:val="00DF0701"/>
    <w:rsid w:val="00DF0720"/>
    <w:rsid w:val="00DF1C03"/>
    <w:rsid w:val="00DF4C73"/>
    <w:rsid w:val="00DF5AF8"/>
    <w:rsid w:val="00DF667A"/>
    <w:rsid w:val="00DF689D"/>
    <w:rsid w:val="00DF7C2B"/>
    <w:rsid w:val="00E02B51"/>
    <w:rsid w:val="00E02CB5"/>
    <w:rsid w:val="00E03A90"/>
    <w:rsid w:val="00E07632"/>
    <w:rsid w:val="00E07F05"/>
    <w:rsid w:val="00E10666"/>
    <w:rsid w:val="00E10689"/>
    <w:rsid w:val="00E10BFB"/>
    <w:rsid w:val="00E10E1E"/>
    <w:rsid w:val="00E10F49"/>
    <w:rsid w:val="00E13CD6"/>
    <w:rsid w:val="00E13EEA"/>
    <w:rsid w:val="00E1637E"/>
    <w:rsid w:val="00E167DC"/>
    <w:rsid w:val="00E17C90"/>
    <w:rsid w:val="00E2089B"/>
    <w:rsid w:val="00E212A7"/>
    <w:rsid w:val="00E2173C"/>
    <w:rsid w:val="00E231F4"/>
    <w:rsid w:val="00E25906"/>
    <w:rsid w:val="00E2604E"/>
    <w:rsid w:val="00E267FE"/>
    <w:rsid w:val="00E2757B"/>
    <w:rsid w:val="00E32913"/>
    <w:rsid w:val="00E332EE"/>
    <w:rsid w:val="00E33A2C"/>
    <w:rsid w:val="00E374AB"/>
    <w:rsid w:val="00E40790"/>
    <w:rsid w:val="00E40C8C"/>
    <w:rsid w:val="00E41DBE"/>
    <w:rsid w:val="00E420DC"/>
    <w:rsid w:val="00E5053E"/>
    <w:rsid w:val="00E51493"/>
    <w:rsid w:val="00E5267F"/>
    <w:rsid w:val="00E5394B"/>
    <w:rsid w:val="00E54950"/>
    <w:rsid w:val="00E55C8C"/>
    <w:rsid w:val="00E57762"/>
    <w:rsid w:val="00E60246"/>
    <w:rsid w:val="00E60ECC"/>
    <w:rsid w:val="00E62322"/>
    <w:rsid w:val="00E649F9"/>
    <w:rsid w:val="00E67D3A"/>
    <w:rsid w:val="00E72AEF"/>
    <w:rsid w:val="00E72C19"/>
    <w:rsid w:val="00E74242"/>
    <w:rsid w:val="00E752DD"/>
    <w:rsid w:val="00E7588E"/>
    <w:rsid w:val="00E77438"/>
    <w:rsid w:val="00E83108"/>
    <w:rsid w:val="00E833E1"/>
    <w:rsid w:val="00E86DF3"/>
    <w:rsid w:val="00E87691"/>
    <w:rsid w:val="00E9126B"/>
    <w:rsid w:val="00E925BB"/>
    <w:rsid w:val="00E94E7F"/>
    <w:rsid w:val="00E95619"/>
    <w:rsid w:val="00E961A3"/>
    <w:rsid w:val="00E9769A"/>
    <w:rsid w:val="00EA0BC3"/>
    <w:rsid w:val="00EA1C6D"/>
    <w:rsid w:val="00EA3F71"/>
    <w:rsid w:val="00EA4E7C"/>
    <w:rsid w:val="00EA52B4"/>
    <w:rsid w:val="00EA5774"/>
    <w:rsid w:val="00EA6D04"/>
    <w:rsid w:val="00EB51B6"/>
    <w:rsid w:val="00EB6D07"/>
    <w:rsid w:val="00EC1E11"/>
    <w:rsid w:val="00EC2476"/>
    <w:rsid w:val="00ED0CDF"/>
    <w:rsid w:val="00ED1B3D"/>
    <w:rsid w:val="00ED3316"/>
    <w:rsid w:val="00ED33A7"/>
    <w:rsid w:val="00ED3A70"/>
    <w:rsid w:val="00ED43FC"/>
    <w:rsid w:val="00ED4AF0"/>
    <w:rsid w:val="00ED4D94"/>
    <w:rsid w:val="00ED4E18"/>
    <w:rsid w:val="00ED5DE2"/>
    <w:rsid w:val="00ED7C14"/>
    <w:rsid w:val="00EE08B3"/>
    <w:rsid w:val="00EE0EF1"/>
    <w:rsid w:val="00EE5219"/>
    <w:rsid w:val="00EE5562"/>
    <w:rsid w:val="00EE6351"/>
    <w:rsid w:val="00EE7A3F"/>
    <w:rsid w:val="00EF063C"/>
    <w:rsid w:val="00EF1575"/>
    <w:rsid w:val="00EF5A3B"/>
    <w:rsid w:val="00EF7194"/>
    <w:rsid w:val="00F05338"/>
    <w:rsid w:val="00F0694E"/>
    <w:rsid w:val="00F07A14"/>
    <w:rsid w:val="00F15D2D"/>
    <w:rsid w:val="00F170DE"/>
    <w:rsid w:val="00F208AE"/>
    <w:rsid w:val="00F21D00"/>
    <w:rsid w:val="00F23C51"/>
    <w:rsid w:val="00F26E6D"/>
    <w:rsid w:val="00F30CEE"/>
    <w:rsid w:val="00F31EE7"/>
    <w:rsid w:val="00F320E6"/>
    <w:rsid w:val="00F32C30"/>
    <w:rsid w:val="00F32CF6"/>
    <w:rsid w:val="00F3395F"/>
    <w:rsid w:val="00F377EE"/>
    <w:rsid w:val="00F40091"/>
    <w:rsid w:val="00F401A3"/>
    <w:rsid w:val="00F40BB4"/>
    <w:rsid w:val="00F41A49"/>
    <w:rsid w:val="00F42AB0"/>
    <w:rsid w:val="00F42B02"/>
    <w:rsid w:val="00F42BA8"/>
    <w:rsid w:val="00F44186"/>
    <w:rsid w:val="00F4638F"/>
    <w:rsid w:val="00F514EE"/>
    <w:rsid w:val="00F528B4"/>
    <w:rsid w:val="00F530ED"/>
    <w:rsid w:val="00F54453"/>
    <w:rsid w:val="00F54B31"/>
    <w:rsid w:val="00F5667F"/>
    <w:rsid w:val="00F57ECE"/>
    <w:rsid w:val="00F65367"/>
    <w:rsid w:val="00F66BAF"/>
    <w:rsid w:val="00F67128"/>
    <w:rsid w:val="00F6752C"/>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EE1"/>
    <w:rsid w:val="00FA54D8"/>
    <w:rsid w:val="00FA6387"/>
    <w:rsid w:val="00FB0B8D"/>
    <w:rsid w:val="00FB1178"/>
    <w:rsid w:val="00FB4F33"/>
    <w:rsid w:val="00FB763B"/>
    <w:rsid w:val="00FC166E"/>
    <w:rsid w:val="00FC1FA0"/>
    <w:rsid w:val="00FC20B4"/>
    <w:rsid w:val="00FD023D"/>
    <w:rsid w:val="00FD161C"/>
    <w:rsid w:val="00FD1A76"/>
    <w:rsid w:val="00FD45B0"/>
    <w:rsid w:val="00FD4F80"/>
    <w:rsid w:val="00FD5A4F"/>
    <w:rsid w:val="00FD63C9"/>
    <w:rsid w:val="00FD6BED"/>
    <w:rsid w:val="00FD71FA"/>
    <w:rsid w:val="00FE0CEF"/>
    <w:rsid w:val="00FE119C"/>
    <w:rsid w:val="00FE1233"/>
    <w:rsid w:val="00FE1245"/>
    <w:rsid w:val="00FE1F2A"/>
    <w:rsid w:val="00FE657B"/>
    <w:rsid w:val="00FE6F11"/>
    <w:rsid w:val="00FF0693"/>
    <w:rsid w:val="00FF08BB"/>
    <w:rsid w:val="00FF1296"/>
    <w:rsid w:val="00FF1EC0"/>
    <w:rsid w:val="00FF4A5C"/>
    <w:rsid w:val="00FF4CB6"/>
    <w:rsid w:val="00FF5494"/>
    <w:rsid w:val="00FF61ED"/>
    <w:rsid w:val="00FF64B0"/>
    <w:rsid w:val="00FF74F8"/>
    <w:rsid w:val="00FF7B8F"/>
    <w:rsid w:val="03B32A07"/>
    <w:rsid w:val="07CC3F7D"/>
    <w:rsid w:val="07D91B0D"/>
    <w:rsid w:val="124C6850"/>
    <w:rsid w:val="125C0BBE"/>
    <w:rsid w:val="14B26906"/>
    <w:rsid w:val="15930EAF"/>
    <w:rsid w:val="19386A92"/>
    <w:rsid w:val="198D6623"/>
    <w:rsid w:val="1A587F9C"/>
    <w:rsid w:val="210109CD"/>
    <w:rsid w:val="24E42757"/>
    <w:rsid w:val="26306192"/>
    <w:rsid w:val="319D25B1"/>
    <w:rsid w:val="35B2271F"/>
    <w:rsid w:val="35BC17F0"/>
    <w:rsid w:val="371C70AF"/>
    <w:rsid w:val="41CC66EE"/>
    <w:rsid w:val="470C72DF"/>
    <w:rsid w:val="48431BC3"/>
    <w:rsid w:val="49CA69C0"/>
    <w:rsid w:val="4A1A6F5B"/>
    <w:rsid w:val="4C0942B9"/>
    <w:rsid w:val="4CCC6D86"/>
    <w:rsid w:val="4D0A7F38"/>
    <w:rsid w:val="4E4A3130"/>
    <w:rsid w:val="50370326"/>
    <w:rsid w:val="54F9012A"/>
    <w:rsid w:val="5D52653E"/>
    <w:rsid w:val="62006FBA"/>
    <w:rsid w:val="627B75C9"/>
    <w:rsid w:val="628B45D1"/>
    <w:rsid w:val="66DD4850"/>
    <w:rsid w:val="6A482CF6"/>
    <w:rsid w:val="6B173C7E"/>
    <w:rsid w:val="74C37D28"/>
    <w:rsid w:val="75AF2FC4"/>
    <w:rsid w:val="77B419BD"/>
    <w:rsid w:val="7F47723F"/>
    <w:rsid w:val="7F5736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3650"/>
    <w:pPr>
      <w:widowControl w:val="0"/>
      <w:jc w:val="both"/>
    </w:pPr>
    <w:rPr>
      <w:rFonts w:ascii="Calibri" w:hAnsi="Calibri" w:cs="黑体"/>
      <w:kern w:val="2"/>
      <w:sz w:val="21"/>
      <w:szCs w:val="22"/>
    </w:rPr>
  </w:style>
  <w:style w:type="paragraph" w:styleId="1">
    <w:name w:val="heading 1"/>
    <w:basedOn w:val="a"/>
    <w:next w:val="a"/>
    <w:link w:val="1Char"/>
    <w:qFormat/>
    <w:rsid w:val="000C3650"/>
    <w:pPr>
      <w:keepNext/>
      <w:keepLines/>
      <w:numPr>
        <w:numId w:val="1"/>
      </w:numPr>
      <w:tabs>
        <w:tab w:val="left" w:pos="3199"/>
      </w:tab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rsid w:val="000C3650"/>
    <w:pPr>
      <w:keepNext/>
      <w:keepLines/>
      <w:numPr>
        <w:ilvl w:val="1"/>
        <w:numId w:val="1"/>
      </w:numPr>
      <w:tabs>
        <w:tab w:val="left" w:pos="1440"/>
      </w:tab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C3650"/>
    <w:rPr>
      <w:rFonts w:eastAsia="宋体"/>
      <w:b/>
      <w:bCs/>
      <w:kern w:val="44"/>
      <w:sz w:val="44"/>
      <w:szCs w:val="44"/>
      <w:lang w:val="en-US" w:eastAsia="zh-CN" w:bidi="ar-SA"/>
    </w:rPr>
  </w:style>
  <w:style w:type="character" w:customStyle="1" w:styleId="2Char">
    <w:name w:val="标题 2 Char"/>
    <w:link w:val="2"/>
    <w:rsid w:val="000C3650"/>
    <w:rPr>
      <w:rFonts w:ascii="Arial" w:eastAsia="黑体" w:hAnsi="Arial"/>
      <w:b/>
      <w:bCs/>
      <w:kern w:val="2"/>
      <w:sz w:val="32"/>
      <w:szCs w:val="32"/>
      <w:lang w:val="en-US" w:eastAsia="zh-CN" w:bidi="ar-SA"/>
    </w:rPr>
  </w:style>
  <w:style w:type="paragraph" w:styleId="a3">
    <w:name w:val="Document Map"/>
    <w:basedOn w:val="a"/>
    <w:link w:val="Char"/>
    <w:rsid w:val="000C3650"/>
    <w:rPr>
      <w:rFonts w:ascii="宋体" w:cs="Times New Roman"/>
      <w:sz w:val="18"/>
      <w:szCs w:val="18"/>
    </w:rPr>
  </w:style>
  <w:style w:type="character" w:customStyle="1" w:styleId="Char">
    <w:name w:val="文档结构图 Char"/>
    <w:link w:val="a3"/>
    <w:rsid w:val="000C3650"/>
    <w:rPr>
      <w:rFonts w:ascii="宋体" w:hAnsi="Calibri" w:cs="黑体"/>
      <w:kern w:val="2"/>
      <w:sz w:val="18"/>
      <w:szCs w:val="18"/>
    </w:rPr>
  </w:style>
  <w:style w:type="paragraph" w:styleId="a4">
    <w:name w:val="Balloon Text"/>
    <w:basedOn w:val="a"/>
    <w:link w:val="Char0"/>
    <w:rsid w:val="000C3650"/>
    <w:rPr>
      <w:sz w:val="18"/>
      <w:szCs w:val="18"/>
    </w:rPr>
  </w:style>
  <w:style w:type="character" w:customStyle="1" w:styleId="Char0">
    <w:name w:val="批注框文本 Char"/>
    <w:link w:val="a4"/>
    <w:rsid w:val="000C3650"/>
    <w:rPr>
      <w:rFonts w:ascii="Calibri" w:hAnsi="Calibri" w:cs="黑体"/>
      <w:kern w:val="2"/>
      <w:sz w:val="18"/>
      <w:szCs w:val="18"/>
    </w:rPr>
  </w:style>
  <w:style w:type="paragraph" w:styleId="a5">
    <w:name w:val="footer"/>
    <w:basedOn w:val="a"/>
    <w:link w:val="Char1"/>
    <w:uiPriority w:val="99"/>
    <w:rsid w:val="000C3650"/>
    <w:pPr>
      <w:tabs>
        <w:tab w:val="center" w:pos="4153"/>
        <w:tab w:val="right" w:pos="8306"/>
      </w:tabs>
      <w:snapToGrid w:val="0"/>
      <w:jc w:val="left"/>
    </w:pPr>
    <w:rPr>
      <w:rFonts w:cs="Times New Roman"/>
      <w:sz w:val="18"/>
      <w:szCs w:val="18"/>
    </w:rPr>
  </w:style>
  <w:style w:type="character" w:customStyle="1" w:styleId="Char1">
    <w:name w:val="页脚 Char"/>
    <w:link w:val="a5"/>
    <w:uiPriority w:val="99"/>
    <w:rsid w:val="000C3650"/>
    <w:rPr>
      <w:rFonts w:ascii="Calibri" w:hAnsi="Calibri" w:cs="黑体"/>
      <w:kern w:val="2"/>
      <w:sz w:val="18"/>
      <w:szCs w:val="18"/>
    </w:rPr>
  </w:style>
  <w:style w:type="paragraph" w:styleId="a6">
    <w:name w:val="header"/>
    <w:basedOn w:val="a"/>
    <w:rsid w:val="000C3650"/>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0C3650"/>
    <w:pPr>
      <w:widowControl/>
      <w:spacing w:before="100" w:beforeAutospacing="1" w:after="100" w:afterAutospacing="1"/>
      <w:jc w:val="left"/>
    </w:pPr>
    <w:rPr>
      <w:rFonts w:ascii="宋体" w:hAnsi="宋体" w:cs="宋体"/>
      <w:kern w:val="0"/>
      <w:sz w:val="24"/>
      <w:szCs w:val="24"/>
    </w:rPr>
  </w:style>
  <w:style w:type="table" w:styleId="a8">
    <w:name w:val="Table Grid"/>
    <w:basedOn w:val="a1"/>
    <w:rsid w:val="000C3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0C3650"/>
  </w:style>
  <w:style w:type="character" w:customStyle="1" w:styleId="jq4Char">
    <w:name w:val="jq4图片注释 Char"/>
    <w:link w:val="jq4"/>
    <w:rsid w:val="000C3650"/>
    <w:rPr>
      <w:rFonts w:eastAsia="Times New Roman"/>
      <w:sz w:val="18"/>
      <w:szCs w:val="24"/>
      <w:lang w:val="en-US" w:eastAsia="zh-CN" w:bidi="ar-SA"/>
    </w:rPr>
  </w:style>
  <w:style w:type="paragraph" w:customStyle="1" w:styleId="jq4">
    <w:name w:val="jq4图片注释"/>
    <w:next w:val="a"/>
    <w:link w:val="jq4Char"/>
    <w:qFormat/>
    <w:rsid w:val="000C3650"/>
    <w:pPr>
      <w:spacing w:before="20" w:after="50" w:line="300" w:lineRule="auto"/>
      <w:ind w:firstLine="200"/>
      <w:jc w:val="center"/>
    </w:pPr>
    <w:rPr>
      <w:rFonts w:eastAsia="Times New Roman"/>
      <w:sz w:val="18"/>
      <w:szCs w:val="24"/>
    </w:rPr>
  </w:style>
  <w:style w:type="paragraph" w:customStyle="1" w:styleId="Default">
    <w:name w:val="Default"/>
    <w:rsid w:val="000C3650"/>
    <w:pPr>
      <w:widowControl w:val="0"/>
      <w:autoSpaceDE w:val="0"/>
      <w:autoSpaceDN w:val="0"/>
      <w:adjustRightInd w:val="0"/>
    </w:pPr>
    <w:rPr>
      <w:color w:val="000000"/>
      <w:sz w:val="24"/>
      <w:szCs w:val="24"/>
    </w:rPr>
  </w:style>
  <w:style w:type="character" w:customStyle="1" w:styleId="font21">
    <w:name w:val="font21"/>
    <w:basedOn w:val="a0"/>
    <w:rsid w:val="000C3650"/>
    <w:rPr>
      <w:rFonts w:ascii="宋体" w:eastAsia="宋体" w:hAnsi="宋体" w:cs="宋体" w:hint="eastAsia"/>
      <w:i w:val="0"/>
      <w:iCs w:val="0"/>
      <w:color w:val="000000"/>
      <w:sz w:val="24"/>
      <w:szCs w:val="24"/>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1720</Words>
  <Characters>9806</Characters>
  <Application>Microsoft Office Word</Application>
  <DocSecurity>0</DocSecurity>
  <Lines>81</Lines>
  <Paragraphs>23</Paragraphs>
  <ScaleCrop>false</ScaleCrop>
  <Company>czj</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Admin</cp:lastModifiedBy>
  <cp:revision>4</cp:revision>
  <cp:lastPrinted>2021-08-30T07:43:00Z</cp:lastPrinted>
  <dcterms:created xsi:type="dcterms:W3CDTF">2022-11-23T07:15:00Z</dcterms:created>
  <dcterms:modified xsi:type="dcterms:W3CDTF">2022-11-23T07:17:00Z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2D7FD18424EC4E89A1EED70294B960D5</vt:lpwstr>
  </property>
</Properties>
</file>