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B5EB97">
      <w:pPr>
        <w:jc w:val="center"/>
        <w:rPr>
          <w:rFonts w:hint="eastAsia" w:ascii="黑体" w:hAnsi="黑体" w:eastAsia="黑体"/>
          <w:b w:val="0"/>
          <w:bCs w:val="0"/>
          <w:spacing w:val="-6"/>
          <w:sz w:val="36"/>
          <w:szCs w:val="36"/>
        </w:rPr>
      </w:pPr>
      <w:r>
        <w:rPr>
          <w:rFonts w:hint="eastAsia" w:ascii="黑体" w:hAnsi="黑体" w:eastAsia="黑体"/>
          <w:b w:val="0"/>
          <w:bCs w:val="0"/>
          <w:spacing w:val="-6"/>
          <w:sz w:val="36"/>
          <w:szCs w:val="36"/>
        </w:rPr>
        <w:t>庄河市吴炉镇平山村村庄规划（2021-2035）</w:t>
      </w:r>
    </w:p>
    <w:p w14:paraId="1BBD705D">
      <w:pPr>
        <w:pStyle w:val="3"/>
        <w:kinsoku w:val="0"/>
        <w:overflowPunct w:val="0"/>
        <w:spacing w:before="0" w:line="600" w:lineRule="exact"/>
        <w:ind w:left="0" w:firstLine="640" w:firstLineChars="200"/>
        <w:rPr>
          <w:rFonts w:ascii="黑体" w:eastAsia="黑体" w:cs="黑体"/>
        </w:rPr>
      </w:pPr>
      <w:r>
        <w:rPr>
          <w:rFonts w:hint="eastAsia" w:ascii="黑体" w:eastAsia="黑体" w:cs="黑体"/>
        </w:rPr>
        <w:t>一、基本情况</w:t>
      </w:r>
      <w:bookmarkStart w:id="4" w:name="_GoBack"/>
      <w:bookmarkEnd w:id="4"/>
    </w:p>
    <w:p w14:paraId="4D8C671E">
      <w:pPr>
        <w:pStyle w:val="3"/>
        <w:kinsoku w:val="0"/>
        <w:overflowPunct w:val="0"/>
        <w:spacing w:before="0" w:line="600" w:lineRule="exact"/>
        <w:ind w:left="0" w:firstLine="640" w:firstLineChars="200"/>
        <w:rPr>
          <w:w w:val="99"/>
        </w:rPr>
      </w:pPr>
      <w:r>
        <w:t>1.</w:t>
      </w:r>
      <w:r>
        <w:rPr>
          <w:rFonts w:hint="eastAsia"/>
        </w:rPr>
        <w:t>区域位置</w:t>
      </w:r>
    </w:p>
    <w:p w14:paraId="1E5CC0BE">
      <w:pPr>
        <w:pStyle w:val="3"/>
        <w:kinsoku w:val="0"/>
        <w:overflowPunct w:val="0"/>
        <w:spacing w:before="0" w:line="600" w:lineRule="exact"/>
        <w:ind w:left="0" w:firstLine="640" w:firstLineChars="200"/>
      </w:pPr>
      <w:r>
        <w:rPr>
          <w:rFonts w:hint="eastAsia"/>
        </w:rPr>
        <w:t>平山村位于庄河市吴炉镇镇区东南部，北邻小孤山村，西与吴炉村，东与黑岛镇，南与英烈士村、桥上村接壤。全村</w:t>
      </w:r>
      <w:r>
        <w:t>12</w:t>
      </w:r>
      <w:r>
        <w:rPr>
          <w:rFonts w:hint="eastAsia"/>
        </w:rPr>
        <w:t>个自然屯。</w:t>
      </w:r>
    </w:p>
    <w:p w14:paraId="675B0081">
      <w:pPr>
        <w:pStyle w:val="3"/>
        <w:kinsoku w:val="0"/>
        <w:overflowPunct w:val="0"/>
        <w:spacing w:before="0" w:line="600" w:lineRule="exact"/>
        <w:ind w:left="0" w:firstLine="640" w:firstLineChars="200"/>
      </w:pPr>
      <w:r>
        <w:t>2.</w:t>
      </w:r>
      <w:r>
        <w:rPr>
          <w:rFonts w:hint="eastAsia"/>
        </w:rPr>
        <w:t>规划范围</w:t>
      </w:r>
    </w:p>
    <w:p w14:paraId="292F39A5">
      <w:pPr>
        <w:pStyle w:val="3"/>
        <w:kinsoku w:val="0"/>
        <w:overflowPunct w:val="0"/>
        <w:spacing w:before="0" w:line="600" w:lineRule="exact"/>
        <w:ind w:left="0" w:firstLine="640" w:firstLineChars="200"/>
      </w:pPr>
      <w:r>
        <w:rPr>
          <w:rFonts w:hint="eastAsia"/>
        </w:rPr>
        <w:t>庄河市吴炉镇平山村村域行政范围，总用地面积</w:t>
      </w:r>
      <w:r>
        <w:t>1589.94</w:t>
      </w:r>
      <w:r>
        <w:rPr>
          <w:rFonts w:hint="eastAsia"/>
        </w:rPr>
        <w:t>公顷，约合</w:t>
      </w:r>
      <w:r>
        <w:t>15.90</w:t>
      </w:r>
      <w:r>
        <w:rPr>
          <w:rFonts w:hint="eastAsia"/>
        </w:rPr>
        <w:t>平方公里。</w:t>
      </w:r>
    </w:p>
    <w:p w14:paraId="13C32E2F">
      <w:pPr>
        <w:pStyle w:val="3"/>
        <w:kinsoku w:val="0"/>
        <w:overflowPunct w:val="0"/>
        <w:spacing w:before="0" w:line="600" w:lineRule="exact"/>
        <w:ind w:left="0" w:firstLine="640" w:firstLineChars="200"/>
      </w:pPr>
      <w:r>
        <w:t>3.</w:t>
      </w:r>
      <w:r>
        <w:rPr>
          <w:rFonts w:hint="eastAsia"/>
        </w:rPr>
        <w:t>规划期限</w:t>
      </w:r>
    </w:p>
    <w:p w14:paraId="41CF803D">
      <w:pPr>
        <w:pStyle w:val="3"/>
        <w:kinsoku w:val="0"/>
        <w:overflowPunct w:val="0"/>
        <w:spacing w:before="0" w:line="600" w:lineRule="exact"/>
        <w:ind w:left="0" w:firstLine="640" w:firstLineChars="200"/>
      </w:pPr>
      <w:r>
        <w:rPr>
          <w:rFonts w:hint="eastAsia"/>
        </w:rPr>
        <w:t>规划基期</w:t>
      </w:r>
      <w:r>
        <w:t>2020</w:t>
      </w:r>
      <w:r>
        <w:rPr>
          <w:rFonts w:hint="eastAsia"/>
        </w:rPr>
        <w:t>年，近期至</w:t>
      </w:r>
      <w:r>
        <w:t>2025</w:t>
      </w:r>
      <w:r>
        <w:rPr>
          <w:rFonts w:hint="eastAsia"/>
        </w:rPr>
        <w:t>年，远期至</w:t>
      </w:r>
      <w:r>
        <w:t>2035</w:t>
      </w:r>
      <w:r>
        <w:rPr>
          <w:rFonts w:hint="eastAsia"/>
        </w:rPr>
        <w:t>年。</w:t>
      </w:r>
    </w:p>
    <w:p w14:paraId="507782B8">
      <w:pPr>
        <w:pStyle w:val="3"/>
        <w:kinsoku w:val="0"/>
        <w:overflowPunct w:val="0"/>
        <w:spacing w:before="0" w:line="600" w:lineRule="exact"/>
        <w:ind w:left="0" w:firstLine="588" w:firstLineChars="200"/>
        <w:rPr>
          <w:rFonts w:ascii="黑体" w:eastAsia="黑体" w:cs="黑体"/>
          <w:spacing w:val="-13"/>
        </w:rPr>
      </w:pPr>
      <w:r>
        <w:rPr>
          <w:rFonts w:hint="eastAsia" w:ascii="黑体" w:eastAsia="黑体" w:cs="黑体"/>
          <w:spacing w:val="-13"/>
        </w:rPr>
        <w:t>二、国土空间管控</w:t>
      </w:r>
    </w:p>
    <w:p w14:paraId="179001C4">
      <w:pPr>
        <w:spacing w:line="560" w:lineRule="exact"/>
        <w:ind w:firstLine="640" w:firstLineChars="200"/>
        <w:rPr>
          <w:rFonts w:hint="eastAsia"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落实《大连市庄河市吴炉镇国土空间总体规划（2021-2035年）》相关内容，明确平山村</w:t>
      </w:r>
      <w:r>
        <w:rPr>
          <w:rFonts w:ascii="仿宋" w:hAnsi="仿宋" w:eastAsia="仿宋"/>
          <w:sz w:val="32"/>
        </w:rPr>
        <w:t>定位为</w:t>
      </w:r>
      <w:r>
        <w:rPr>
          <w:rFonts w:hint="eastAsia" w:ascii="仿宋" w:hAnsi="仿宋" w:eastAsia="仿宋"/>
          <w:sz w:val="32"/>
        </w:rPr>
        <w:t>集聚建设类</w:t>
      </w:r>
      <w:r>
        <w:rPr>
          <w:rFonts w:ascii="仿宋" w:hAnsi="仿宋" w:eastAsia="仿宋"/>
          <w:sz w:val="32"/>
        </w:rPr>
        <w:t>村庄</w:t>
      </w:r>
      <w:r>
        <w:rPr>
          <w:rFonts w:hint="eastAsia" w:ascii="仿宋" w:hAnsi="仿宋" w:eastAsia="仿宋"/>
          <w:sz w:val="32"/>
        </w:rPr>
        <w:t>，至2035年乡村常住人口约1900人。</w:t>
      </w:r>
      <w:r>
        <w:rPr>
          <w:rFonts w:ascii="仿宋" w:hAnsi="仿宋" w:eastAsia="仿宋"/>
          <w:sz w:val="32"/>
        </w:rPr>
        <w:t>约束性指标包括：永久基本农田面积</w:t>
      </w:r>
      <w:r>
        <w:rPr>
          <w:rFonts w:hint="eastAsia" w:ascii="仿宋" w:hAnsi="仿宋" w:eastAsia="仿宋"/>
          <w:sz w:val="32"/>
        </w:rPr>
        <w:t>833.56</w:t>
      </w:r>
      <w:r>
        <w:rPr>
          <w:rFonts w:ascii="仿宋" w:hAnsi="仿宋" w:eastAsia="仿宋"/>
          <w:sz w:val="32"/>
        </w:rPr>
        <w:t>公顷，耕地保有量</w:t>
      </w:r>
      <w:r>
        <w:rPr>
          <w:rFonts w:hint="eastAsia" w:ascii="仿宋" w:hAnsi="仿宋" w:eastAsia="仿宋"/>
          <w:sz w:val="32"/>
        </w:rPr>
        <w:t>825.81</w:t>
      </w:r>
      <w:r>
        <w:rPr>
          <w:rFonts w:ascii="仿宋" w:hAnsi="仿宋" w:eastAsia="仿宋"/>
          <w:sz w:val="32"/>
        </w:rPr>
        <w:t>公顷，湿地面积</w:t>
      </w:r>
      <w:r>
        <w:rPr>
          <w:rFonts w:hint="eastAsia" w:ascii="仿宋" w:hAnsi="仿宋" w:eastAsia="仿宋"/>
          <w:sz w:val="32"/>
        </w:rPr>
        <w:t>72.24</w:t>
      </w:r>
      <w:r>
        <w:rPr>
          <w:rFonts w:ascii="仿宋" w:hAnsi="仿宋" w:eastAsia="仿宋"/>
          <w:sz w:val="32"/>
        </w:rPr>
        <w:t>公顷，村庄建设边界面积</w:t>
      </w:r>
      <w:r>
        <w:rPr>
          <w:rFonts w:hint="eastAsia" w:ascii="仿宋" w:hAnsi="仿宋" w:eastAsia="仿宋"/>
          <w:sz w:val="32"/>
        </w:rPr>
        <w:t>145.72</w:t>
      </w:r>
      <w:r>
        <w:rPr>
          <w:rFonts w:ascii="仿宋" w:hAnsi="仿宋" w:eastAsia="仿宋"/>
          <w:sz w:val="32"/>
        </w:rPr>
        <w:t>公顷</w:t>
      </w:r>
      <w:r>
        <w:rPr>
          <w:rFonts w:hint="eastAsia" w:ascii="仿宋" w:hAnsi="仿宋" w:eastAsia="仿宋"/>
          <w:sz w:val="32"/>
        </w:rPr>
        <w:t>，城镇开发边界4.45公顷</w:t>
      </w:r>
      <w:r>
        <w:rPr>
          <w:rFonts w:ascii="仿宋" w:hAnsi="仿宋" w:eastAsia="仿宋"/>
          <w:sz w:val="32"/>
        </w:rPr>
        <w:t>。</w:t>
      </w:r>
    </w:p>
    <w:p w14:paraId="0462F583">
      <w:pPr>
        <w:pStyle w:val="3"/>
        <w:kinsoku w:val="0"/>
        <w:overflowPunct w:val="0"/>
        <w:spacing w:before="0" w:line="600" w:lineRule="exact"/>
        <w:ind w:left="0" w:firstLine="640" w:firstLineChars="200"/>
      </w:pPr>
      <w:r>
        <w:t>1.保障农业空间</w:t>
      </w:r>
    </w:p>
    <w:p w14:paraId="7070620B">
      <w:pPr>
        <w:pStyle w:val="3"/>
        <w:kinsoku w:val="0"/>
        <w:overflowPunct w:val="0"/>
        <w:spacing w:before="0" w:line="600" w:lineRule="exact"/>
        <w:ind w:left="0" w:firstLine="640" w:firstLineChars="200"/>
      </w:pPr>
      <w:r>
        <w:rPr>
          <w:rFonts w:hint="eastAsia"/>
        </w:rPr>
        <w:t>农业空间基于耕地、园地、设施农用地等用地形成，统筹安排、优先保障</w:t>
      </w:r>
      <w:r>
        <w:t>农业发展空间</w:t>
      </w:r>
      <w:r>
        <w:rPr>
          <w:rFonts w:hint="eastAsia"/>
        </w:rPr>
        <w:t>1023.53公顷，重点保护</w:t>
      </w:r>
      <w:r>
        <w:rPr>
          <w:rFonts w:hint="eastAsia" w:hAnsi="仿宋"/>
        </w:rPr>
        <w:t>833.56</w:t>
      </w:r>
      <w:r>
        <w:t>公顷</w:t>
      </w:r>
      <w:r>
        <w:rPr>
          <w:rFonts w:hint="eastAsia"/>
        </w:rPr>
        <w:t>永久基本农田，坚守耕地保护底线，控制非农建设占用耕地，严格实现耕地占补平衡，稳步开发耕地后备资源，保证耕地数量平衡</w:t>
      </w:r>
      <w:r>
        <w:t>。</w:t>
      </w:r>
    </w:p>
    <w:p w14:paraId="0B0E7DBC">
      <w:pPr>
        <w:pStyle w:val="3"/>
        <w:kinsoku w:val="0"/>
        <w:overflowPunct w:val="0"/>
        <w:spacing w:before="0" w:line="600" w:lineRule="exact"/>
        <w:ind w:left="0" w:firstLine="640" w:firstLineChars="200"/>
      </w:pPr>
      <w:r>
        <w:rPr>
          <w:rFonts w:hint="eastAsia"/>
        </w:rPr>
        <w:t>鼓励</w:t>
      </w:r>
      <w:r>
        <w:t>利用</w:t>
      </w:r>
      <w:r>
        <w:rPr>
          <w:rFonts w:hint="eastAsia"/>
        </w:rPr>
        <w:t>永久基本农田以外农业空间，建设设施农业和休闲农业</w:t>
      </w:r>
      <w:r>
        <w:t>。</w:t>
      </w:r>
      <w:r>
        <w:rPr>
          <w:rFonts w:hint="eastAsia"/>
        </w:rPr>
        <w:t>规划果园136.67公顷，</w:t>
      </w:r>
      <w:r>
        <w:t>鼓励</w:t>
      </w:r>
      <w:r>
        <w:rPr>
          <w:rFonts w:hint="eastAsia"/>
        </w:rPr>
        <w:t>结合果园和其他林地</w:t>
      </w:r>
      <w:r>
        <w:t>发展多业融合的</w:t>
      </w:r>
      <w:r>
        <w:rPr>
          <w:rFonts w:hint="eastAsia"/>
        </w:rPr>
        <w:t>复合农业产业。</w:t>
      </w:r>
    </w:p>
    <w:p w14:paraId="63823854">
      <w:pPr>
        <w:spacing w:line="560" w:lineRule="exact"/>
        <w:ind w:firstLine="640" w:firstLineChars="200"/>
        <w:rPr>
          <w:rFonts w:hint="eastAsia"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2.保护生态空间</w:t>
      </w:r>
    </w:p>
    <w:p w14:paraId="17E74514">
      <w:pPr>
        <w:spacing w:line="560" w:lineRule="exact"/>
        <w:ind w:firstLine="640" w:firstLineChars="200"/>
        <w:rPr>
          <w:rFonts w:hint="eastAsia"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生态空间基于林地、草地、陆地水域等空间构成，总面积为416.24公顷。通过北部英那河、中部丘陵广布的丘陵林地，构建起平山村的生态保护格局</w:t>
      </w:r>
      <w:r>
        <w:rPr>
          <w:rFonts w:ascii="仿宋" w:hAnsi="仿宋" w:eastAsia="仿宋"/>
          <w:sz w:val="32"/>
        </w:rPr>
        <w:t>。</w:t>
      </w:r>
    </w:p>
    <w:p w14:paraId="46278FA5">
      <w:pPr>
        <w:spacing w:line="560" w:lineRule="exact"/>
        <w:ind w:firstLine="640" w:firstLineChars="200"/>
        <w:rPr>
          <w:rFonts w:hint="eastAsia"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平山村无生态保护红线，重点落实湿地和林地生态保护。</w:t>
      </w:r>
      <w:r>
        <w:rPr>
          <w:rFonts w:ascii="仿宋" w:hAnsi="仿宋" w:eastAsia="仿宋"/>
          <w:sz w:val="32"/>
        </w:rPr>
        <w:t>落实上位规划确定的湿地面积约</w:t>
      </w:r>
      <w:r>
        <w:rPr>
          <w:rFonts w:hint="eastAsia" w:ascii="仿宋" w:hAnsi="仿宋" w:eastAsia="仿宋"/>
          <w:sz w:val="32"/>
        </w:rPr>
        <w:t>72.24</w:t>
      </w:r>
      <w:r>
        <w:rPr>
          <w:rFonts w:ascii="仿宋" w:hAnsi="仿宋" w:eastAsia="仿宋"/>
          <w:sz w:val="32"/>
        </w:rPr>
        <w:t>公顷，严格管控湿地活动，禁止开垦、填埋、排干湿地，永久性截断湿地水源，向湿地超标排放污染物等破坏湿地的行为</w:t>
      </w:r>
      <w:r>
        <w:rPr>
          <w:rFonts w:hint="eastAsia" w:ascii="仿宋" w:hAnsi="仿宋" w:eastAsia="仿宋"/>
          <w:sz w:val="32"/>
        </w:rPr>
        <w:t>。</w:t>
      </w:r>
    </w:p>
    <w:p w14:paraId="673C43C9">
      <w:pPr>
        <w:spacing w:line="560" w:lineRule="exact"/>
        <w:ind w:firstLine="640" w:firstLineChars="200"/>
        <w:rPr>
          <w:rFonts w:hint="eastAsia"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平山顶历史文化保护线21.74公顷，位于村域北部生态空间范围内，在保护自然生态的同时，还应注意历史遗址人文环境的保护和合理利用。</w:t>
      </w:r>
    </w:p>
    <w:p w14:paraId="6DEB1BEA">
      <w:pPr>
        <w:spacing w:line="560" w:lineRule="exact"/>
        <w:ind w:firstLine="640" w:firstLineChars="200"/>
        <w:rPr>
          <w:rFonts w:hint="eastAsia"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3.</w:t>
      </w:r>
      <w:r>
        <w:rPr>
          <w:rFonts w:ascii="仿宋" w:hAnsi="仿宋" w:eastAsia="仿宋"/>
          <w:sz w:val="32"/>
        </w:rPr>
        <w:t>优化建设空间</w:t>
      </w:r>
    </w:p>
    <w:p w14:paraId="63AE2987">
      <w:pPr>
        <w:spacing w:line="560" w:lineRule="exact"/>
        <w:ind w:firstLine="640" w:firstLineChars="200"/>
        <w:rPr>
          <w:rFonts w:hint="eastAsia"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落实上位传导的</w:t>
      </w:r>
      <w:r>
        <w:rPr>
          <w:rFonts w:ascii="仿宋" w:hAnsi="仿宋" w:eastAsia="仿宋"/>
          <w:sz w:val="32"/>
        </w:rPr>
        <w:t>村庄建设边界面积</w:t>
      </w:r>
      <w:r>
        <w:rPr>
          <w:rFonts w:hint="eastAsia" w:ascii="仿宋" w:hAnsi="仿宋" w:eastAsia="仿宋"/>
          <w:sz w:val="32"/>
        </w:rPr>
        <w:t>145.72</w:t>
      </w:r>
      <w:r>
        <w:rPr>
          <w:rFonts w:ascii="仿宋" w:hAnsi="仿宋" w:eastAsia="仿宋"/>
          <w:sz w:val="32"/>
        </w:rPr>
        <w:t>公顷</w:t>
      </w:r>
      <w:r>
        <w:rPr>
          <w:rFonts w:hint="eastAsia" w:ascii="仿宋" w:hAnsi="仿宋" w:eastAsia="仿宋"/>
          <w:sz w:val="32"/>
        </w:rPr>
        <w:t>，城镇开发边界4.45公顷</w:t>
      </w:r>
      <w:r>
        <w:rPr>
          <w:rFonts w:ascii="仿宋" w:hAnsi="仿宋" w:eastAsia="仿宋"/>
          <w:sz w:val="32"/>
        </w:rPr>
        <w:t>。</w:t>
      </w:r>
      <w:r>
        <w:rPr>
          <w:rFonts w:hint="eastAsia" w:ascii="仿宋" w:hAnsi="仿宋" w:eastAsia="仿宋"/>
          <w:sz w:val="32"/>
        </w:rPr>
        <w:t>集聚建设类村庄是乡村振兴的重点，规划</w:t>
      </w:r>
      <w:r>
        <w:rPr>
          <w:rFonts w:ascii="仿宋" w:hAnsi="仿宋" w:eastAsia="仿宋"/>
          <w:sz w:val="32"/>
        </w:rPr>
        <w:t>在</w:t>
      </w:r>
      <w:r>
        <w:rPr>
          <w:rFonts w:hint="eastAsia" w:ascii="仿宋" w:hAnsi="仿宋" w:eastAsia="仿宋"/>
          <w:sz w:val="32"/>
        </w:rPr>
        <w:t>村庄</w:t>
      </w:r>
      <w:r>
        <w:rPr>
          <w:rFonts w:ascii="仿宋" w:hAnsi="仿宋" w:eastAsia="仿宋"/>
          <w:sz w:val="32"/>
        </w:rPr>
        <w:t>原有规模基础上有序推进改造提升、激活产业，建设宜居宜业的美丽村庄</w:t>
      </w:r>
      <w:r>
        <w:rPr>
          <w:rFonts w:hint="eastAsia" w:ascii="仿宋" w:hAnsi="仿宋" w:eastAsia="仿宋"/>
          <w:sz w:val="32"/>
        </w:rPr>
        <w:t>，</w:t>
      </w:r>
      <w:r>
        <w:rPr>
          <w:rFonts w:ascii="仿宋" w:hAnsi="仿宋" w:eastAsia="仿宋"/>
          <w:sz w:val="32"/>
        </w:rPr>
        <w:t>强化主导产业支撑</w:t>
      </w:r>
      <w:r>
        <w:rPr>
          <w:rFonts w:hint="eastAsia" w:ascii="仿宋" w:hAnsi="仿宋" w:eastAsia="仿宋"/>
          <w:sz w:val="32"/>
        </w:rPr>
        <w:t>。为提高平山村生产生活服务能力，规划按照合理的服务半径，在各集中居民点</w:t>
      </w:r>
      <w:r>
        <w:rPr>
          <w:rFonts w:ascii="仿宋" w:hAnsi="仿宋" w:eastAsia="仿宋"/>
          <w:sz w:val="32"/>
        </w:rPr>
        <w:t>新增</w:t>
      </w:r>
      <w:r>
        <w:rPr>
          <w:rFonts w:hint="eastAsia" w:ascii="仿宋" w:hAnsi="仿宋" w:eastAsia="仿宋"/>
          <w:sz w:val="32"/>
        </w:rPr>
        <w:t>农村社区服务设施用地，在刘东屯新增产业综合服务设施，在姜隈后屯新增休闲观光农业服务设施。</w:t>
      </w:r>
    </w:p>
    <w:p w14:paraId="5415EB64">
      <w:pPr>
        <w:spacing w:line="560" w:lineRule="exact"/>
        <w:ind w:firstLine="640" w:firstLineChars="200"/>
        <w:rPr>
          <w:rFonts w:hint="eastAsia"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平山村北部临河区域位于洪涝风险控制线内，村域西部建设用地与区域重大基础设施线管控范围重叠，为保障农民生产生活安全及基础设施安全， 500千伏高压线下方单侧各35米宽范围、220千伏高压线下方单侧各20米范围、LNG燃气输送管线单侧各5米范围内，禁止房屋新建或改建。其他管控要求以相关专项规划及专业部门要求为准。</w:t>
      </w:r>
    </w:p>
    <w:p w14:paraId="11AE1243">
      <w:pPr>
        <w:pStyle w:val="3"/>
        <w:kinsoku w:val="0"/>
        <w:overflowPunct w:val="0"/>
        <w:spacing w:before="0" w:line="600" w:lineRule="exact"/>
        <w:ind w:left="0" w:firstLine="640" w:firstLineChars="200"/>
        <w:jc w:val="both"/>
        <w:rPr>
          <w:rFonts w:ascii="黑体" w:eastAsia="黑体" w:cs="黑体"/>
        </w:rPr>
      </w:pPr>
      <w:r>
        <w:rPr>
          <w:rFonts w:hint="eastAsia" w:ascii="黑体" w:eastAsia="黑体" w:cs="黑体"/>
        </w:rPr>
        <w:t>三、村域空间发展规划</w:t>
      </w:r>
    </w:p>
    <w:p w14:paraId="63FBD897">
      <w:pPr>
        <w:spacing w:line="560" w:lineRule="exact"/>
        <w:ind w:firstLine="640" w:firstLineChars="200"/>
        <w:rPr>
          <w:rFonts w:hint="eastAsia"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1.产业</w:t>
      </w:r>
      <w:r>
        <w:rPr>
          <w:rFonts w:ascii="仿宋" w:hAnsi="仿宋" w:eastAsia="仿宋"/>
          <w:sz w:val="32"/>
        </w:rPr>
        <w:t>发展</w:t>
      </w:r>
    </w:p>
    <w:p w14:paraId="048A1B89">
      <w:pPr>
        <w:spacing w:line="560" w:lineRule="exact"/>
        <w:ind w:firstLine="640" w:firstLineChars="200"/>
        <w:rPr>
          <w:rFonts w:hint="eastAsia"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综合现状产业资源基础和上位规划产业统筹，规划平山村产业为果蔬种植业为主，围绕果蔬种植发展现代农业、一二三产融合产业，发挥北部沿河生态景观、平山顶遗址历史文化资源，在保护为先的基础上上，适度发展乡村休闲观光旅游产业。</w:t>
      </w:r>
    </w:p>
    <w:p w14:paraId="559FE2B3">
      <w:pPr>
        <w:spacing w:line="560" w:lineRule="exact"/>
        <w:ind w:firstLine="640" w:firstLineChars="200"/>
        <w:rPr>
          <w:rFonts w:hint="eastAsia"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2.空间</w:t>
      </w:r>
      <w:r>
        <w:rPr>
          <w:rFonts w:ascii="仿宋" w:hAnsi="仿宋" w:eastAsia="仿宋"/>
          <w:sz w:val="32"/>
        </w:rPr>
        <w:t>发展布局</w:t>
      </w:r>
    </w:p>
    <w:p w14:paraId="71C8E2D0">
      <w:pPr>
        <w:spacing w:line="560" w:lineRule="exact"/>
        <w:ind w:firstLine="640" w:firstLineChars="200"/>
        <w:rPr>
          <w:rFonts w:hint="eastAsia"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规划梳理平山村自然、人文空间特点，构建形成“两轴轴一带、三心六区”的空间发展格局。</w:t>
      </w:r>
    </w:p>
    <w:p w14:paraId="42B23415">
      <w:pPr>
        <w:spacing w:line="560" w:lineRule="exact"/>
        <w:ind w:firstLine="640" w:firstLineChars="200"/>
        <w:rPr>
          <w:rFonts w:hint="eastAsia"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两轴：沿大冷线的村庄空间发展主轴，沿小平线-崔刘线的村庄空间发展辅轴。以主要交通线路为依托，形成村庄生产生活空间骨架。</w:t>
      </w:r>
    </w:p>
    <w:p w14:paraId="4984E078">
      <w:pPr>
        <w:spacing w:line="560" w:lineRule="exact"/>
        <w:ind w:firstLine="640" w:firstLineChars="200"/>
        <w:rPr>
          <w:rFonts w:hint="eastAsia"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一带：沿英那河水域形成生态景观带，作为村域生态支撑和景观特色，同时提供生产灌溉水源。</w:t>
      </w:r>
    </w:p>
    <w:p w14:paraId="09A44971">
      <w:pPr>
        <w:spacing w:line="560" w:lineRule="exact"/>
        <w:ind w:firstLine="640" w:firstLineChars="200"/>
        <w:rPr>
          <w:rFonts w:hint="eastAsia"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三心：以村委为中心的公共服务核心，位于英那河岸的生态景观核心，位于平山顶的人文景观核心。</w:t>
      </w:r>
    </w:p>
    <w:p w14:paraId="7EA23276">
      <w:pPr>
        <w:spacing w:line="560" w:lineRule="exact"/>
        <w:ind w:firstLine="640" w:firstLineChars="200"/>
        <w:rPr>
          <w:rFonts w:hint="eastAsia"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六区：包括1个村庄核心服务片区、1个农业产业片区、2个传统农业复合功能片区和2个生态生产复合功能片区。</w:t>
      </w:r>
    </w:p>
    <w:p w14:paraId="480436D7">
      <w:pPr>
        <w:spacing w:line="560" w:lineRule="exact"/>
        <w:ind w:firstLine="640" w:firstLineChars="200"/>
        <w:rPr>
          <w:rFonts w:hint="eastAsia"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3.人口规模</w:t>
      </w:r>
    </w:p>
    <w:p w14:paraId="69D22B71">
      <w:pPr>
        <w:pStyle w:val="3"/>
        <w:kinsoku w:val="0"/>
        <w:overflowPunct w:val="0"/>
        <w:spacing w:before="0" w:line="600" w:lineRule="exact"/>
        <w:ind w:left="0" w:firstLine="640" w:firstLineChars="200"/>
      </w:pPr>
      <w:bookmarkStart w:id="0" w:name="_Hlk204870038"/>
      <w:bookmarkStart w:id="1" w:name="_Hlk205108464"/>
      <w:r>
        <w:rPr>
          <w:rFonts w:hint="eastAsia"/>
        </w:rPr>
        <w:t>至规划期末</w:t>
      </w:r>
      <w:r>
        <w:t>2035</w:t>
      </w:r>
      <w:r>
        <w:rPr>
          <w:rFonts w:hint="eastAsia"/>
        </w:rPr>
        <w:t>年，平山村常住人口估算约</w:t>
      </w:r>
      <w:r>
        <w:t>1</w:t>
      </w:r>
      <w:r>
        <w:rPr>
          <w:rFonts w:hint="eastAsia"/>
        </w:rPr>
        <w:t>9</w:t>
      </w:r>
      <w:r>
        <w:t>00</w:t>
      </w:r>
      <w:r>
        <w:rPr>
          <w:rFonts w:hint="eastAsia"/>
        </w:rPr>
        <w:t>人。户籍人口</w:t>
      </w:r>
      <w:bookmarkEnd w:id="0"/>
      <w:bookmarkEnd w:id="1"/>
      <w:r>
        <w:rPr>
          <w:rFonts w:hint="eastAsia"/>
        </w:rPr>
        <w:t>估算不超过30</w:t>
      </w:r>
      <w:r>
        <w:t>00</w:t>
      </w:r>
      <w:r>
        <w:rPr>
          <w:rFonts w:hint="eastAsia"/>
        </w:rPr>
        <w:t>人。</w:t>
      </w:r>
    </w:p>
    <w:p w14:paraId="129AA073">
      <w:pPr>
        <w:pStyle w:val="3"/>
        <w:kinsoku w:val="0"/>
        <w:overflowPunct w:val="0"/>
        <w:spacing w:before="0" w:line="600" w:lineRule="exact"/>
        <w:ind w:left="0" w:firstLine="640" w:firstLineChars="200"/>
        <w:jc w:val="both"/>
        <w:rPr>
          <w:rFonts w:ascii="黑体" w:eastAsia="黑体" w:cs="黑体"/>
        </w:rPr>
      </w:pPr>
      <w:r>
        <w:rPr>
          <w:rFonts w:hint="eastAsia" w:ascii="黑体" w:eastAsia="黑体" w:cs="黑体"/>
        </w:rPr>
        <w:t>四、重点地区人居环境整治</w:t>
      </w:r>
    </w:p>
    <w:p w14:paraId="373B2C17">
      <w:pPr>
        <w:spacing w:line="560" w:lineRule="exact"/>
        <w:ind w:firstLine="640" w:firstLineChars="200"/>
        <w:rPr>
          <w:rFonts w:hint="eastAsia"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对于规划中已</w:t>
      </w:r>
      <w:r>
        <w:rPr>
          <w:rFonts w:ascii="仿宋" w:hAnsi="仿宋" w:eastAsia="仿宋"/>
          <w:sz w:val="32"/>
        </w:rPr>
        <w:t>进行</w:t>
      </w:r>
      <w:r>
        <w:rPr>
          <w:rFonts w:hint="eastAsia" w:ascii="仿宋" w:hAnsi="仿宋" w:eastAsia="仿宋"/>
          <w:sz w:val="32"/>
        </w:rPr>
        <w:t>相对集中布局</w:t>
      </w:r>
      <w:r>
        <w:rPr>
          <w:rFonts w:ascii="仿宋" w:hAnsi="仿宋" w:eastAsia="仿宋"/>
          <w:sz w:val="32"/>
        </w:rPr>
        <w:t>的</w:t>
      </w:r>
      <w:r>
        <w:rPr>
          <w:rFonts w:hint="eastAsia" w:ascii="仿宋" w:hAnsi="仿宋" w:eastAsia="仿宋"/>
          <w:sz w:val="32"/>
        </w:rPr>
        <w:t>村庄居民点</w:t>
      </w:r>
      <w:r>
        <w:rPr>
          <w:rFonts w:ascii="仿宋" w:hAnsi="仿宋" w:eastAsia="仿宋"/>
          <w:sz w:val="32"/>
        </w:rPr>
        <w:t>，结合农民生</w:t>
      </w:r>
      <w:r>
        <w:rPr>
          <w:rFonts w:hint="eastAsia" w:ascii="仿宋" w:hAnsi="仿宋" w:eastAsia="仿宋"/>
          <w:sz w:val="32"/>
        </w:rPr>
        <w:t>产</w:t>
      </w:r>
      <w:r>
        <w:rPr>
          <w:rFonts w:ascii="仿宋" w:hAnsi="仿宋" w:eastAsia="仿宋"/>
          <w:sz w:val="32"/>
        </w:rPr>
        <w:t>生活</w:t>
      </w:r>
      <w:r>
        <w:rPr>
          <w:rFonts w:hint="eastAsia" w:ascii="仿宋" w:hAnsi="仿宋" w:eastAsia="仿宋"/>
          <w:sz w:val="32"/>
        </w:rPr>
        <w:t>方式，从土地综合整治、公共设施完善、公用设施布局、防灾减灾设施补齐、景观风貌和建筑风貌优化等角度对村庄人居环境进行规划设计</w:t>
      </w:r>
      <w:r>
        <w:rPr>
          <w:rFonts w:ascii="仿宋" w:hAnsi="仿宋" w:eastAsia="仿宋"/>
          <w:sz w:val="32"/>
        </w:rPr>
        <w:t>。</w:t>
      </w:r>
    </w:p>
    <w:p w14:paraId="7251D6CE">
      <w:pPr>
        <w:pStyle w:val="3"/>
        <w:kinsoku w:val="0"/>
        <w:overflowPunct w:val="0"/>
        <w:spacing w:before="0" w:line="600" w:lineRule="exact"/>
        <w:ind w:left="0" w:firstLine="640" w:firstLineChars="200"/>
        <w:jc w:val="both"/>
        <w:rPr>
          <w:rFonts w:ascii="黑体" w:eastAsia="黑体" w:cs="黑体"/>
        </w:rPr>
      </w:pPr>
      <w:r>
        <w:rPr>
          <w:rFonts w:hint="eastAsia" w:ascii="黑体" w:eastAsia="黑体" w:cs="黑体"/>
        </w:rPr>
        <w:t>五、近期整治规划</w:t>
      </w:r>
    </w:p>
    <w:p w14:paraId="48AA80B7">
      <w:pPr>
        <w:pStyle w:val="3"/>
        <w:kinsoku w:val="0"/>
        <w:overflowPunct w:val="0"/>
        <w:spacing w:before="0" w:line="600" w:lineRule="exact"/>
        <w:ind w:left="0" w:firstLine="640" w:firstLineChars="200"/>
      </w:pPr>
      <w:bookmarkStart w:id="2" w:name="_Hlk204885510"/>
      <w:r>
        <w:rPr>
          <w:rFonts w:hint="eastAsia"/>
        </w:rPr>
        <w:t>近期整治根据平山村实际建设需求、居民生产生活和生态保护面临的迫切问题，</w:t>
      </w:r>
      <w:bookmarkStart w:id="3" w:name="_Hlk204885285"/>
      <w:r>
        <w:rPr>
          <w:rFonts w:hint="eastAsia"/>
        </w:rPr>
        <w:t>重点</w:t>
      </w:r>
      <w:bookmarkEnd w:id="2"/>
      <w:r>
        <w:rPr>
          <w:rFonts w:hint="eastAsia"/>
        </w:rPr>
        <w:t>从公共服务设施、商业服务设施、公用设施、道路工程、人居环境等方面建设项目，主要增加项目包括快递投放点、农村物流点、科技服务点、商业服务中心、消防点、健身广场等。</w:t>
      </w:r>
    </w:p>
    <w:bookmarkEnd w:id="3"/>
    <w:p w14:paraId="5018CB44">
      <w:pPr>
        <w:pStyle w:val="3"/>
        <w:kinsoku w:val="0"/>
        <w:overflowPunct w:val="0"/>
        <w:spacing w:before="0" w:line="600" w:lineRule="exact"/>
        <w:ind w:left="0" w:firstLine="540" w:firstLineChars="200"/>
        <w:rPr>
          <w:sz w:val="27"/>
          <w:szCs w:val="27"/>
        </w:rPr>
      </w:pPr>
    </w:p>
    <w:p w14:paraId="623AC0EC">
      <w:pPr>
        <w:pStyle w:val="3"/>
        <w:kinsoku w:val="0"/>
        <w:overflowPunct w:val="0"/>
        <w:spacing w:before="0"/>
        <w:rPr>
          <w:rFonts w:ascii="黑体" w:eastAsia="黑体" w:cs="黑体"/>
        </w:rPr>
        <w:sectPr>
          <w:pgSz w:w="11910" w:h="16840"/>
          <w:pgMar w:top="1582" w:right="1678" w:bottom="1418" w:left="1678" w:header="720" w:footer="720" w:gutter="0"/>
          <w:cols w:space="720" w:num="1"/>
        </w:sectPr>
      </w:pPr>
    </w:p>
    <w:p w14:paraId="03081A0B">
      <w:pPr>
        <w:pStyle w:val="3"/>
        <w:kinsoku w:val="0"/>
        <w:overflowPunct w:val="0"/>
        <w:spacing w:before="0" w:line="400" w:lineRule="exact"/>
        <w:rPr>
          <w:rFonts w:ascii="黑体" w:eastAsia="黑体" w:cs="黑体"/>
        </w:rPr>
      </w:pPr>
      <w:r>
        <w:rPr>
          <w:rFonts w:hint="eastAsia" w:ascii="黑体" w:eastAsia="黑体" w:cs="黑体"/>
        </w:rPr>
        <w:t>五、附图</w:t>
      </w:r>
    </w:p>
    <w:p w14:paraId="68DBD895">
      <w:pPr>
        <w:pStyle w:val="3"/>
        <w:kinsoku w:val="0"/>
        <w:overflowPunct w:val="0"/>
        <w:spacing w:before="181" w:line="400" w:lineRule="exact"/>
        <w:ind w:left="0" w:firstLine="640" w:firstLineChars="200"/>
      </w:pPr>
      <w:r>
        <w:t>1.</w:t>
      </w:r>
      <w:r>
        <w:rPr>
          <w:rFonts w:hint="eastAsia"/>
        </w:rPr>
        <w:t>区位图</w:t>
      </w:r>
    </w:p>
    <w:p w14:paraId="5510BC00">
      <w:pPr>
        <w:pStyle w:val="3"/>
        <w:kinsoku w:val="0"/>
        <w:overflowPunct w:val="0"/>
        <w:spacing w:before="0"/>
        <w:ind w:left="0"/>
        <w:jc w:val="center"/>
        <w:rPr>
          <w:sz w:val="20"/>
          <w:szCs w:val="20"/>
        </w:rPr>
      </w:pPr>
      <w:r>
        <w:rPr>
          <w:sz w:val="20"/>
          <w:szCs w:val="20"/>
        </w:rPr>
        <w:drawing>
          <wp:inline distT="0" distB="0" distL="0" distR="0">
            <wp:extent cx="4319905" cy="3726815"/>
            <wp:effectExtent l="0" t="0" r="4445" b="6985"/>
            <wp:docPr id="641047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04763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72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9603E6">
      <w:pPr>
        <w:pStyle w:val="3"/>
        <w:kinsoku w:val="0"/>
        <w:overflowPunct w:val="0"/>
        <w:spacing w:before="181" w:line="343" w:lineRule="auto"/>
        <w:ind w:left="0" w:firstLine="640" w:firstLineChars="200"/>
        <w:rPr>
          <w:sz w:val="21"/>
          <w:szCs w:val="21"/>
        </w:rPr>
      </w:pPr>
      <w:r>
        <w:t>2.</w:t>
      </w:r>
      <w:r>
        <w:rPr>
          <w:rFonts w:hint="eastAsia"/>
        </w:rPr>
        <w:t>村域空间结构规划图</w:t>
      </w:r>
    </w:p>
    <w:p w14:paraId="62965488">
      <w:pPr>
        <w:pStyle w:val="3"/>
        <w:kinsoku w:val="0"/>
        <w:overflowPunct w:val="0"/>
        <w:spacing w:before="0"/>
        <w:ind w:left="0"/>
        <w:jc w:val="center"/>
        <w:rPr>
          <w:sz w:val="20"/>
          <w:szCs w:val="20"/>
        </w:rPr>
      </w:pPr>
      <w:r>
        <w:rPr>
          <w:sz w:val="21"/>
          <w:szCs w:val="21"/>
        </w:rPr>
        <w:drawing>
          <wp:inline distT="0" distB="0" distL="0" distR="0">
            <wp:extent cx="4499610" cy="3889375"/>
            <wp:effectExtent l="0" t="0" r="0" b="0"/>
            <wp:docPr id="67286985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869856" name="图片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3889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7A9B5C">
      <w:pPr>
        <w:pStyle w:val="3"/>
        <w:kinsoku w:val="0"/>
        <w:overflowPunct w:val="0"/>
        <w:spacing w:before="181"/>
        <w:ind w:left="0" w:firstLine="640" w:firstLineChars="200"/>
      </w:pPr>
    </w:p>
    <w:p w14:paraId="1317AC4F">
      <w:pPr>
        <w:pStyle w:val="3"/>
        <w:kinsoku w:val="0"/>
        <w:overflowPunct w:val="0"/>
        <w:spacing w:before="181" w:line="400" w:lineRule="exact"/>
        <w:ind w:left="0" w:firstLine="640" w:firstLineChars="200"/>
        <w:rPr>
          <w:position w:val="-108"/>
          <w:sz w:val="20"/>
          <w:szCs w:val="20"/>
        </w:rPr>
      </w:pPr>
      <w:r>
        <w:t xml:space="preserve">3. </w:t>
      </w:r>
      <w:r>
        <w:rPr>
          <w:rFonts w:hint="eastAsia"/>
        </w:rPr>
        <w:t>边界划定与管控图</w:t>
      </w:r>
    </w:p>
    <w:p w14:paraId="0E3A074D">
      <w:pPr>
        <w:pStyle w:val="3"/>
        <w:kinsoku w:val="0"/>
        <w:overflowPunct w:val="0"/>
        <w:spacing w:before="4"/>
        <w:ind w:left="0"/>
        <w:jc w:val="center"/>
      </w:pPr>
      <w:r>
        <w:rPr>
          <w:sz w:val="21"/>
          <w:szCs w:val="21"/>
        </w:rPr>
        <w:drawing>
          <wp:inline distT="0" distB="0" distL="0" distR="0">
            <wp:extent cx="4319905" cy="3733800"/>
            <wp:effectExtent l="0" t="0" r="4445" b="0"/>
            <wp:docPr id="184638939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389397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733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36DC14">
      <w:pPr>
        <w:pStyle w:val="3"/>
        <w:kinsoku w:val="0"/>
        <w:overflowPunct w:val="0"/>
        <w:spacing w:before="181" w:line="343" w:lineRule="auto"/>
        <w:ind w:left="0" w:firstLine="640" w:firstLineChars="200"/>
      </w:pPr>
      <w:r>
        <w:t>4.</w:t>
      </w:r>
      <w:r>
        <w:rPr>
          <w:rFonts w:hint="eastAsia"/>
        </w:rPr>
        <w:t>村域国土空间规划图</w:t>
      </w:r>
    </w:p>
    <w:p w14:paraId="4AA5D391">
      <w:pPr>
        <w:pStyle w:val="3"/>
        <w:kinsoku w:val="0"/>
        <w:overflowPunct w:val="0"/>
        <w:spacing w:before="7"/>
        <w:ind w:left="0"/>
        <w:jc w:val="center"/>
        <w:rPr>
          <w:sz w:val="27"/>
          <w:szCs w:val="27"/>
        </w:rPr>
      </w:pPr>
      <w:r>
        <w:rPr>
          <w:sz w:val="27"/>
          <w:szCs w:val="27"/>
        </w:rPr>
        <w:drawing>
          <wp:inline distT="0" distB="0" distL="0" distR="0">
            <wp:extent cx="4499610" cy="3889375"/>
            <wp:effectExtent l="0" t="0" r="0" b="0"/>
            <wp:docPr id="17316833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683331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3889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pgSz w:w="11910" w:h="16840"/>
      <w:pgMar w:top="1582" w:right="1678" w:bottom="1418" w:left="1678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20"/>
  <w:drawingGridHorizontalSpacing w:val="120"/>
  <w:drawingGridVerticalSpacing w:val="120"/>
  <w:displayHorizontalDrawingGridEvery w:val="0"/>
  <w:displayVerticalDrawingGridEvery w:val="3"/>
  <w:doNotUseMarginsForDrawingGridOrigin w:val="1"/>
  <w:drawingGridHorizontalOrigin w:val="1800"/>
  <w:drawingGridVerticalOrigin w:val="1440"/>
  <w:doNotShadeFormData w:val="1"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718"/>
    <w:rsid w:val="00000315"/>
    <w:rsid w:val="00000418"/>
    <w:rsid w:val="00083503"/>
    <w:rsid w:val="00090B5E"/>
    <w:rsid w:val="00101C12"/>
    <w:rsid w:val="0010235A"/>
    <w:rsid w:val="00136718"/>
    <w:rsid w:val="001C73DB"/>
    <w:rsid w:val="00225E45"/>
    <w:rsid w:val="0025189F"/>
    <w:rsid w:val="002B39E1"/>
    <w:rsid w:val="00330175"/>
    <w:rsid w:val="003B28E1"/>
    <w:rsid w:val="003C0588"/>
    <w:rsid w:val="00415451"/>
    <w:rsid w:val="00532DE2"/>
    <w:rsid w:val="0054421D"/>
    <w:rsid w:val="005C5B05"/>
    <w:rsid w:val="005F74DA"/>
    <w:rsid w:val="006C055A"/>
    <w:rsid w:val="007363B8"/>
    <w:rsid w:val="007842CA"/>
    <w:rsid w:val="007B5A87"/>
    <w:rsid w:val="00807BE5"/>
    <w:rsid w:val="00820BCC"/>
    <w:rsid w:val="00871205"/>
    <w:rsid w:val="00886B37"/>
    <w:rsid w:val="009001D0"/>
    <w:rsid w:val="00921629"/>
    <w:rsid w:val="00960561"/>
    <w:rsid w:val="00971D6E"/>
    <w:rsid w:val="00976F5E"/>
    <w:rsid w:val="009D6A1E"/>
    <w:rsid w:val="00A211B4"/>
    <w:rsid w:val="00A372EE"/>
    <w:rsid w:val="00A71A7E"/>
    <w:rsid w:val="00AD1D2C"/>
    <w:rsid w:val="00B763A1"/>
    <w:rsid w:val="00BA0B96"/>
    <w:rsid w:val="00BA73D2"/>
    <w:rsid w:val="00BC13E8"/>
    <w:rsid w:val="00CA0648"/>
    <w:rsid w:val="00CA67F5"/>
    <w:rsid w:val="00CB1476"/>
    <w:rsid w:val="00D36E3E"/>
    <w:rsid w:val="00D60352"/>
    <w:rsid w:val="00D84049"/>
    <w:rsid w:val="00DD405B"/>
    <w:rsid w:val="00E5683A"/>
    <w:rsid w:val="00EA1A8D"/>
    <w:rsid w:val="00EE32ED"/>
    <w:rsid w:val="00FA716F"/>
    <w:rsid w:val="1EEA7E3E"/>
    <w:rsid w:val="61A054DF"/>
    <w:rsid w:val="7B1E7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efaultImageDpi w14:val="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nhideWhenUsed="0" w:uiPriority="99" w:semiHidden="0" w:name="index 1"/>
    <w:lsdException w:unhideWhenUsed="0" w:uiPriority="99" w:semiHidden="0" w:name="index 2"/>
    <w:lsdException w:unhideWhenUsed="0" w:uiPriority="99" w:semiHidden="0" w:name="index 3"/>
    <w:lsdException w:unhideWhenUsed="0" w:uiPriority="99" w:semiHidden="0" w:name="index 4"/>
    <w:lsdException w:unhideWhenUsed="0" w:uiPriority="99" w:semiHidden="0" w:name="index 5"/>
    <w:lsdException w:unhideWhenUsed="0" w:uiPriority="99" w:semiHidden="0" w:name="index 6"/>
    <w:lsdException w:unhideWhenUsed="0" w:uiPriority="99" w:semiHidden="0" w:name="index 7"/>
    <w:lsdException w:unhideWhenUsed="0" w:uiPriority="99" w:semiHidden="0" w:name="index 8"/>
    <w:lsdException w:unhideWhenUsed="0" w:uiPriority="99" w:semiHidden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nhideWhenUsed="0" w:uiPriority="99" w:semiHidden="0" w:name="Normal Indent"/>
    <w:lsdException w:unhideWhenUsed="0" w:uiPriority="99" w:semiHidden="0" w:name="footnote text"/>
    <w:lsdException w:unhideWhenUsed="0" w:uiPriority="99" w:semiHidden="0" w:name="annotation text"/>
    <w:lsdException w:qFormat="1" w:uiPriority="99" w:semiHidden="0" w:name="header"/>
    <w:lsdException w:uiPriority="99" w:semiHidden="0" w:name="footer"/>
    <w:lsdException w:unhideWhenUsed="0" w:uiPriority="99" w:semiHidden="0" w:name="index heading"/>
    <w:lsdException w:qFormat="1" w:uiPriority="35" w:name="caption"/>
    <w:lsdException w:unhideWhenUsed="0" w:uiPriority="99" w:semiHidden="0" w:name="table of figures"/>
    <w:lsdException w:unhideWhenUsed="0" w:uiPriority="99" w:semiHidden="0" w:name="envelope address"/>
    <w:lsdException w:unhideWhenUsed="0" w:uiPriority="99" w:semiHidden="0" w:name="envelope return"/>
    <w:lsdException w:unhideWhenUsed="0" w:uiPriority="99" w:semiHidden="0" w:name="footnote reference"/>
    <w:lsdException w:unhideWhenUsed="0" w:uiPriority="99" w:semiHidden="0" w:name="annotation reference"/>
    <w:lsdException w:unhideWhenUsed="0" w:uiPriority="99" w:semiHidden="0" w:name="line number"/>
    <w:lsdException w:unhideWhenUsed="0" w:uiPriority="99" w:semiHidden="0" w:name="page number"/>
    <w:lsdException w:unhideWhenUsed="0" w:uiPriority="99" w:semiHidden="0" w:name="endnote reference"/>
    <w:lsdException w:unhideWhenUsed="0" w:uiPriority="99" w:semiHidden="0" w:name="endnote text"/>
    <w:lsdException w:uiPriority="99" w:name="table of authorities"/>
    <w:lsdException w:unhideWhenUsed="0" w:uiPriority="99" w:semiHidden="0" w:name="macro"/>
    <w:lsdException w:unhideWhenUsed="0" w:uiPriority="99" w:semiHidden="0" w:name="toa heading"/>
    <w:lsdException w:uiPriority="99" w:name="List"/>
    <w:lsdException w:uiPriority="99" w:name="List Bullet"/>
    <w:lsdException w:unhideWhenUsed="0" w:uiPriority="99" w:semiHidden="0" w:name="List Number"/>
    <w:lsdException w:unhideWhenUsed="0" w:uiPriority="99" w:semiHidden="0" w:name="List 2"/>
    <w:lsdException w:unhideWhenUsed="0" w:uiPriority="99" w:semiHidden="0" w:name="List 3"/>
    <w:lsdException w:unhideWhenUsed="0" w:uiPriority="99" w:semiHidden="0" w:name="List 4"/>
    <w:lsdException w:unhideWhenUsed="0" w:uiPriority="99" w:semiHidden="0" w:name="List 5"/>
    <w:lsdException w:unhideWhenUsed="0" w:uiPriority="99" w:semiHidden="0" w:name="List Bullet 2"/>
    <w:lsdException w:unhideWhenUsed="0" w:uiPriority="99" w:semiHidden="0" w:name="List Bullet 3"/>
    <w:lsdException w:unhideWhenUsed="0" w:uiPriority="99" w:semiHidden="0" w:name="List Bullet 4"/>
    <w:lsdException w:unhideWhenUsed="0" w:uiPriority="99" w:semiHidden="0" w:name="List Bullet 5"/>
    <w:lsdException w:unhideWhenUsed="0" w:uiPriority="99" w:semiHidden="0" w:name="List Number 2"/>
    <w:lsdException w:unhideWhenUsed="0" w:uiPriority="99" w:semiHidden="0" w:name="List Number 3"/>
    <w:lsdException w:unhideWhenUsed="0" w:uiPriority="99" w:semiHidden="0" w:name="List Number 4"/>
    <w:lsdException w:unhideWhenUsed="0" w:uiPriority="99" w:semiHidden="0" w:name="List Number 5"/>
    <w:lsdException w:qFormat="1" w:unhideWhenUsed="0" w:uiPriority="10" w:semiHidden="0" w:name="Title"/>
    <w:lsdException w:unhideWhenUsed="0" w:uiPriority="99" w:semiHidden="0" w:name="Closing"/>
    <w:lsdException w:unhideWhenUsed="0" w:uiPriority="99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99" w:semiHidden="0" w:name="Body Text Indent"/>
    <w:lsdException w:unhideWhenUsed="0" w:uiPriority="99" w:semiHidden="0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nhideWhenUsed="0" w:uiPriority="99" w:semiHidden="0" w:name="Message Header"/>
    <w:lsdException w:qFormat="1" w:unhideWhenUsed="0" w:uiPriority="11" w:semiHidden="0" w:name="Subtitle"/>
    <w:lsdException w:unhideWhenUsed="0" w:uiPriority="99" w:semiHidden="0" w:name="Salutation"/>
    <w:lsdException w:unhideWhenUsed="0" w:uiPriority="99" w:semiHidden="0" w:name="Date"/>
    <w:lsdException w:unhideWhenUsed="0" w:uiPriority="99" w:semiHidden="0" w:name="Body Text First Indent"/>
    <w:lsdException w:unhideWhenUsed="0" w:uiPriority="99" w:semiHidden="0" w:name="Body Text First Indent 2"/>
    <w:lsdException w:unhideWhenUsed="0" w:uiPriority="99" w:semiHidden="0" w:name="Note Heading"/>
    <w:lsdException w:unhideWhenUsed="0" w:uiPriority="99" w:semiHidden="0" w:name="Body Text 2"/>
    <w:lsdException w:unhideWhenUsed="0" w:uiPriority="99" w:semiHidden="0" w:name="Body Text 3"/>
    <w:lsdException w:unhideWhenUsed="0" w:uiPriority="99" w:semiHidden="0" w:name="Body Text Indent 2"/>
    <w:lsdException w:unhideWhenUsed="0" w:uiPriority="99" w:semiHidden="0" w:name="Body Text Indent 3"/>
    <w:lsdException w:unhideWhenUsed="0" w:uiPriority="99" w:semiHidden="0" w:name="Block Text"/>
    <w:lsdException w:unhideWhenUsed="0" w:uiPriority="99" w:semiHidden="0" w:name="Hyperlink"/>
    <w:lsdException w:unhideWhenUsed="0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qFormat="1" w:uiPriority="99" w:name="Normal Table"/>
    <w:lsdException w:unhideWhenUsed="0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adjustRightInd w:val="0"/>
    </w:pPr>
    <w:rPr>
      <w:rFonts w:ascii="Times New Roman" w:hAnsi="Times New Roman" w:cs="Times New Roman" w:eastAsiaTheme="minorEastAsia"/>
      <w:kern w:val="0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1"/>
    <w:pPr>
      <w:ind w:left="120" w:hanging="3524"/>
      <w:outlineLvl w:val="0"/>
    </w:pPr>
    <w:rPr>
      <w:rFonts w:ascii="宋体" w:eastAsia="宋体" w:cs="宋体"/>
      <w:b/>
      <w:bCs/>
      <w:sz w:val="36"/>
      <w:szCs w:val="36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9"/>
    <w:qFormat/>
    <w:uiPriority w:val="1"/>
    <w:pPr>
      <w:spacing w:before="43"/>
      <w:ind w:left="120"/>
    </w:pPr>
    <w:rPr>
      <w:rFonts w:ascii="仿宋" w:eastAsia="仿宋" w:cs="仿宋"/>
      <w:sz w:val="32"/>
      <w:szCs w:val="32"/>
    </w:rPr>
  </w:style>
  <w:style w:type="paragraph" w:styleId="4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标题 1 字符"/>
    <w:basedOn w:val="7"/>
    <w:link w:val="2"/>
    <w:qFormat/>
    <w:locked/>
    <w:uiPriority w:val="9"/>
    <w:rPr>
      <w:rFonts w:ascii="Times New Roman" w:hAnsi="Times New Roman" w:cs="Times New Roman"/>
      <w:b/>
      <w:bCs/>
      <w:kern w:val="44"/>
      <w:sz w:val="44"/>
      <w:szCs w:val="44"/>
    </w:rPr>
  </w:style>
  <w:style w:type="character" w:customStyle="1" w:styleId="9">
    <w:name w:val="正文文本 字符"/>
    <w:basedOn w:val="7"/>
    <w:link w:val="3"/>
    <w:semiHidden/>
    <w:qFormat/>
    <w:locked/>
    <w:uiPriority w:val="99"/>
    <w:rPr>
      <w:rFonts w:ascii="Times New Roman" w:hAnsi="Times New Roman" w:cs="Times New Roman"/>
      <w:kern w:val="0"/>
      <w:sz w:val="24"/>
      <w:szCs w:val="24"/>
    </w:rPr>
  </w:style>
  <w:style w:type="paragraph" w:styleId="10">
    <w:name w:val="List Paragraph"/>
    <w:basedOn w:val="1"/>
    <w:qFormat/>
    <w:uiPriority w:val="34"/>
  </w:style>
  <w:style w:type="paragraph" w:customStyle="1" w:styleId="11">
    <w:name w:val="Table Paragraph"/>
    <w:basedOn w:val="1"/>
    <w:qFormat/>
    <w:uiPriority w:val="1"/>
  </w:style>
  <w:style w:type="character" w:customStyle="1" w:styleId="12">
    <w:name w:val="页眉 字符"/>
    <w:basedOn w:val="7"/>
    <w:link w:val="5"/>
    <w:qFormat/>
    <w:locked/>
    <w:uiPriority w:val="99"/>
    <w:rPr>
      <w:rFonts w:ascii="Times New Roman" w:hAnsi="Times New Roman" w:cs="Times New Roman"/>
      <w:kern w:val="0"/>
      <w:sz w:val="18"/>
      <w:szCs w:val="18"/>
    </w:rPr>
  </w:style>
  <w:style w:type="character" w:customStyle="1" w:styleId="13">
    <w:name w:val="页脚 字符"/>
    <w:basedOn w:val="7"/>
    <w:link w:val="4"/>
    <w:qFormat/>
    <w:locked/>
    <w:uiPriority w:val="99"/>
    <w:rPr>
      <w:rFonts w:ascii="Times New Roman" w:hAnsi="Times New Roman" w:cs="Times New Roman"/>
      <w:kern w:val="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1671</Words>
  <Characters>1802</Characters>
  <Lines>56</Lines>
  <Paragraphs>42</Paragraphs>
  <TotalTime>2</TotalTime>
  <ScaleCrop>false</ScaleCrop>
  <LinksUpToDate>false</LinksUpToDate>
  <CharactersWithSpaces>1804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2025-08-05T01:15:00Z</dcterms:created>
  <dc:creator>Administrator</dc:creator>
  <cp:lastModifiedBy>蕭凉</cp:lastModifiedBy>
  <dcterms:modified xsi:type="dcterms:W3CDTF">2025-10-11T05:41:42Z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WPS 文字</vt:lpwstr>
  </property>
  <property fmtid="{D5CDD505-2E9C-101B-9397-08002B2CF9AE}" pid="3" name="KSOProductBuildVer">
    <vt:lpwstr>2052-12.1.0.21915</vt:lpwstr>
  </property>
  <property fmtid="{D5CDD505-2E9C-101B-9397-08002B2CF9AE}" pid="4" name="ICV">
    <vt:lpwstr>D3CA83582C544950BA7147332D381BE4_13</vt:lpwstr>
  </property>
  <property fmtid="{D5CDD505-2E9C-101B-9397-08002B2CF9AE}" pid="5" name="KSOTemplateDocerSaveRecord">
    <vt:lpwstr>eyJoZGlkIjoiNGRkNjY3YzUzYjg1ODRkMTU0ZDJjYjQyYzA0YTA4MTciLCJ1c2VySWQiOiI3NjEwODc5OTkifQ==</vt:lpwstr>
  </property>
</Properties>
</file>