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sz w:val="44"/>
          <w:szCs w:val="44"/>
          <w:highlight w:val="none"/>
          <w:lang w:eastAsia="zh-CN"/>
        </w:rPr>
      </w:pPr>
      <w:bookmarkStart w:id="0" w:name="_GoBack"/>
      <w:bookmarkEnd w:id="0"/>
      <w:r>
        <w:rPr>
          <w:rFonts w:hint="eastAsia" w:ascii="方正小标宋简体" w:hAnsi="方正小标宋简体" w:eastAsia="方正小标宋简体" w:cs="方正小标宋简体"/>
          <w:b w:val="0"/>
          <w:bCs/>
          <w:sz w:val="44"/>
          <w:szCs w:val="44"/>
          <w:highlight w:val="none"/>
          <w:lang w:eastAsia="zh-CN"/>
        </w:rPr>
        <w:t>发展新型新型农村集体经济自评报告</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利用上级资金1400万元在庄河市建设14个新型农村集体经济项目，增加村集体收入，带动农民增收。</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一、项目资金：1400万，中央资金420万、省资金280万、大连市资金700万。</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二、资金管理情况：</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1、分配科学性：严格按照转移支付管理制度以及资金管理办法规定的范围和标准分配资金。</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2、下达及时性：严格按照预算法及其实施条例、转移支付管理制度规定以及资金管理办法规定的时限要求分解下达。</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3、拨付合规性：严格按照国库集中支付制度有关规定支付资金，未出现违规将资金从国库转入财政专户或支付到预算单位实有资金账户等问题。</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4、使用规范性;严格按照下达预算的科目和项目执行，未出现截留、挤占、挪用或擅自调整等问题。</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5、执行准确性:按照上级下达和本级预算安排的金额执行，不存在执行数据偏离预算数较多的问题。</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6、预算绩效管理情况:在细化下达预算时同步下达绩效目标，将有关资金纳入本级预算或对下转移支付绩效管理，开展绩效监控和绩效评价。</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三、项目目前进展情况：14个项目正在建设当中。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YmE0ZGY5NjRjYjNkOTU4M2RjZWEwMTg2MGIzMTQifQ=="/>
  </w:docVars>
  <w:rsids>
    <w:rsidRoot w:val="29F67E1E"/>
    <w:rsid w:val="0F596ABB"/>
    <w:rsid w:val="29F67E1E"/>
    <w:rsid w:val="7F374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2024-03-20T07:24:00Z</dcterms:created>
  <dc:creator>zsz</dc:creator>
  <cp:lastModifiedBy>zsz</cp:lastModifiedBy>
  <cp:lastPrinted>2024-03-28T00:49:06Z</cp:lastPrinted>
  <dcterms:modified xsi:type="dcterms:W3CDTF">2024-03-28T00:49:50Z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FC3782DFE1E54CE58F97B2AF1BB6599C_13</vt:lpwstr>
  </property>
</Properties>
</file>