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color w:val="686868"/>
          <w:sz w:val="29"/>
          <w:szCs w:val="29"/>
        </w:rPr>
      </w:pPr>
      <w:r w:rsidRPr="00BA3984">
        <w:rPr>
          <w:rFonts w:asciiTheme="minorEastAsia" w:eastAsiaTheme="minorEastAsia" w:hAnsiTheme="minorEastAsia" w:hint="eastAsia"/>
          <w:color w:val="686868"/>
          <w:sz w:val="44"/>
          <w:szCs w:val="44"/>
        </w:rPr>
        <w:t>庄河市经济发展服务中心</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44"/>
          <w:szCs w:val="44"/>
        </w:rPr>
        <w:t>2021年度部门预算</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b/>
          <w:bCs/>
          <w:color w:val="686868"/>
          <w:sz w:val="32"/>
          <w:szCs w:val="32"/>
        </w:rPr>
        <w:t>目录</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第一部分  庄河市经济发展服务中心概况</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一、主要职责</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二、部门预算单位构成</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第二部分   庄河市经济发展服务中心2021年部门预算表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一、收支预算总表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二、收入预算总表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三、支出预算总表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四、支出功能分类预算表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五、支出经济分类预算表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六、财政拨款预算总表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七、一般公共预算支出表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八、一般公共预算基本支出表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九、一般公共预算“三公”经费支出预算表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十、政府性基金预算支出表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十一、国有资本经营预算支出表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十二、项目支出表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十三、政府采购预算表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lastRenderedPageBreak/>
        <w:t>十四、政府购买服务预算表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第三部分   庄河市经济发展服务中心2021年部门预算情况说明</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第四部分   名词解释</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44"/>
          <w:szCs w:val="44"/>
        </w:rPr>
        <w:t> </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44"/>
          <w:szCs w:val="44"/>
        </w:rPr>
        <w:t>第一部分 </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44"/>
          <w:szCs w:val="44"/>
        </w:rPr>
        <w:t>庄河市经济发展服务中心概况</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 </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一、主要职责</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为庄河市（经济区）经济发展提供技术支持服务和其他公益职能。公共资源交易操作；公共资源交易监管平台提供；政府集中采购项目履约验收；全市政府非税收入征管；对外联络服务；项目融资；中小企业服务；企业问题协商解决；节约用电指导推广；财政性资金建设项目预（概）算；竣工决算审核审查；工程造价；经济区及入驻园区企业提供经济性公共服务；农村经济发展提供管理服务；配合国库管理部门建立国库单一账号体系。</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二、部门预算单位构成</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庄河市经济发展服务中心部门预算是庄河市经济发展服务中心本部综合收支计划，无二级单位,我市机关事业单</w:t>
      </w:r>
      <w:r w:rsidRPr="00BA3984">
        <w:rPr>
          <w:rFonts w:asciiTheme="minorEastAsia" w:eastAsiaTheme="minorEastAsia" w:hAnsiTheme="minorEastAsia" w:hint="eastAsia"/>
          <w:color w:val="686868"/>
          <w:sz w:val="32"/>
          <w:szCs w:val="32"/>
        </w:rPr>
        <w:lastRenderedPageBreak/>
        <w:t>位机构改革后，本部门及下属预算单位只设置具体工作岗位，不设置内设机构。</w:t>
      </w:r>
    </w:p>
    <w:p w:rsidR="00BA3984" w:rsidRPr="00BA3984" w:rsidRDefault="00BA3984" w:rsidP="00BA3984">
      <w:pPr>
        <w:pStyle w:val="a3"/>
        <w:shd w:val="clear" w:color="auto" w:fill="F8F8F8"/>
        <w:spacing w:before="0" w:beforeAutospacing="0" w:after="0" w:afterAutospacing="0" w:line="658" w:lineRule="atLeast"/>
        <w:ind w:firstLine="4121"/>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b/>
          <w:bCs/>
          <w:color w:val="686868"/>
          <w:sz w:val="44"/>
          <w:szCs w:val="44"/>
        </w:rPr>
        <w:t> </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44"/>
          <w:szCs w:val="44"/>
        </w:rPr>
        <w:t> </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44"/>
          <w:szCs w:val="44"/>
        </w:rPr>
        <w:t> </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44"/>
          <w:szCs w:val="44"/>
        </w:rPr>
        <w:t> </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44"/>
          <w:szCs w:val="44"/>
        </w:rPr>
        <w:t> </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44"/>
          <w:szCs w:val="44"/>
        </w:rPr>
        <w:t>第二部分  </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44"/>
          <w:szCs w:val="44"/>
        </w:rPr>
        <w:t>庄河市经济发展服务中心2021年部门预算表</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（详见附件）</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 </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一、收支预算总表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二、收入预算总表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三、支出预算总表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四、支出功能分类预算表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五、支出经济分类预算表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六、财政拨款预算总表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七、一般公共预算支出表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八、一般公共预算基本支出表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九、一般公共预算“三公”经费支出预算表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lastRenderedPageBreak/>
        <w:t>十、政府性基金预算支出表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十一、国有资本经营预算支出表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十二、项目支出表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十三、政府采购预算表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十四、政府购买服务预算表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44"/>
          <w:szCs w:val="44"/>
        </w:rPr>
        <w:t> </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44"/>
          <w:szCs w:val="44"/>
        </w:rPr>
        <w:t> </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44"/>
          <w:szCs w:val="44"/>
        </w:rPr>
        <w:t>第三部分  </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44"/>
          <w:szCs w:val="44"/>
        </w:rPr>
        <w:t>庄河市经济发展服务中心</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44"/>
          <w:szCs w:val="44"/>
        </w:rPr>
        <w:t>2021年部门预算情况说明</w:t>
      </w:r>
    </w:p>
    <w:p w:rsidR="00BA3984" w:rsidRPr="00BA3984" w:rsidRDefault="00BA3984" w:rsidP="00BA3984">
      <w:pPr>
        <w:pStyle w:val="a3"/>
        <w:shd w:val="clear" w:color="auto" w:fill="F8F8F8"/>
        <w:spacing w:before="0" w:beforeAutospacing="0" w:after="0" w:afterAutospacing="0" w:line="658" w:lineRule="atLeast"/>
        <w:ind w:firstLine="643"/>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b/>
          <w:bCs/>
          <w:color w:val="686868"/>
          <w:sz w:val="32"/>
          <w:szCs w:val="32"/>
        </w:rPr>
        <w:t> </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一、2021年部门收支预算情况</w:t>
      </w:r>
    </w:p>
    <w:p w:rsidR="00BA3984" w:rsidRPr="00BA3984" w:rsidRDefault="00BA3984" w:rsidP="00BA3984">
      <w:pPr>
        <w:pStyle w:val="a3"/>
        <w:shd w:val="clear" w:color="auto" w:fill="F8F8F8"/>
        <w:spacing w:before="0" w:beforeAutospacing="0" w:after="0" w:afterAutospacing="0" w:line="658" w:lineRule="atLeast"/>
        <w:ind w:firstLine="66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000000"/>
          <w:sz w:val="32"/>
          <w:szCs w:val="32"/>
        </w:rPr>
        <w:t>2021年收入预算</w:t>
      </w:r>
      <w:r w:rsidRPr="00BA3984">
        <w:rPr>
          <w:rFonts w:asciiTheme="minorEastAsia" w:eastAsiaTheme="minorEastAsia" w:hAnsiTheme="minorEastAsia" w:hint="eastAsia"/>
          <w:color w:val="686868"/>
          <w:sz w:val="32"/>
          <w:szCs w:val="32"/>
        </w:rPr>
        <w:t>1787.1</w:t>
      </w:r>
      <w:r w:rsidRPr="00BA3984">
        <w:rPr>
          <w:rFonts w:asciiTheme="minorEastAsia" w:eastAsiaTheme="minorEastAsia" w:hAnsiTheme="minorEastAsia" w:hint="eastAsia"/>
          <w:color w:val="000000"/>
          <w:sz w:val="32"/>
          <w:szCs w:val="32"/>
        </w:rPr>
        <w:t>万元，比2020年减少144.4万元。其中：一般公共预算拨款收入</w:t>
      </w:r>
      <w:r w:rsidRPr="00BA3984">
        <w:rPr>
          <w:rFonts w:asciiTheme="minorEastAsia" w:eastAsiaTheme="minorEastAsia" w:hAnsiTheme="minorEastAsia" w:hint="eastAsia"/>
          <w:color w:val="686868"/>
          <w:sz w:val="32"/>
          <w:szCs w:val="32"/>
        </w:rPr>
        <w:t>1787.1</w:t>
      </w:r>
      <w:r w:rsidRPr="00BA3984">
        <w:rPr>
          <w:rFonts w:asciiTheme="minorEastAsia" w:eastAsiaTheme="minorEastAsia" w:hAnsiTheme="minorEastAsia" w:hint="eastAsia"/>
          <w:color w:val="000000"/>
          <w:sz w:val="32"/>
          <w:szCs w:val="32"/>
        </w:rPr>
        <w:t>万元，政府性基金预算拨款收入</w:t>
      </w:r>
      <w:r w:rsidRPr="00BA3984">
        <w:rPr>
          <w:rFonts w:asciiTheme="minorEastAsia" w:eastAsiaTheme="minorEastAsia" w:hAnsiTheme="minorEastAsia" w:hint="eastAsia"/>
          <w:color w:val="686868"/>
          <w:sz w:val="32"/>
          <w:szCs w:val="32"/>
        </w:rPr>
        <w:t>0</w:t>
      </w:r>
      <w:r w:rsidRPr="00BA3984">
        <w:rPr>
          <w:rFonts w:asciiTheme="minorEastAsia" w:eastAsiaTheme="minorEastAsia" w:hAnsiTheme="minorEastAsia" w:hint="eastAsia"/>
          <w:color w:val="000000"/>
          <w:sz w:val="32"/>
          <w:szCs w:val="32"/>
        </w:rPr>
        <w:t>万元，国有资本经营预算拨款收入</w:t>
      </w:r>
      <w:r w:rsidRPr="00BA3984">
        <w:rPr>
          <w:rFonts w:asciiTheme="minorEastAsia" w:eastAsiaTheme="minorEastAsia" w:hAnsiTheme="minorEastAsia" w:hint="eastAsia"/>
          <w:color w:val="686868"/>
          <w:sz w:val="32"/>
          <w:szCs w:val="32"/>
        </w:rPr>
        <w:t>0</w:t>
      </w:r>
      <w:r w:rsidRPr="00BA3984">
        <w:rPr>
          <w:rFonts w:asciiTheme="minorEastAsia" w:eastAsiaTheme="minorEastAsia" w:hAnsiTheme="minorEastAsia" w:hint="eastAsia"/>
          <w:color w:val="000000"/>
          <w:sz w:val="32"/>
          <w:szCs w:val="32"/>
        </w:rPr>
        <w:t>万元，财政专户管理资金收入</w:t>
      </w:r>
      <w:r w:rsidRPr="00BA3984">
        <w:rPr>
          <w:rFonts w:asciiTheme="minorEastAsia" w:eastAsiaTheme="minorEastAsia" w:hAnsiTheme="minorEastAsia" w:hint="eastAsia"/>
          <w:color w:val="686868"/>
          <w:sz w:val="32"/>
          <w:szCs w:val="32"/>
        </w:rPr>
        <w:t>0</w:t>
      </w:r>
      <w:r w:rsidRPr="00BA3984">
        <w:rPr>
          <w:rFonts w:asciiTheme="minorEastAsia" w:eastAsiaTheme="minorEastAsia" w:hAnsiTheme="minorEastAsia" w:hint="eastAsia"/>
          <w:color w:val="000000"/>
          <w:sz w:val="32"/>
          <w:szCs w:val="32"/>
        </w:rPr>
        <w:t>万元，事业收入</w:t>
      </w:r>
      <w:r w:rsidRPr="00BA3984">
        <w:rPr>
          <w:rFonts w:asciiTheme="minorEastAsia" w:eastAsiaTheme="minorEastAsia" w:hAnsiTheme="minorEastAsia" w:hint="eastAsia"/>
          <w:color w:val="686868"/>
          <w:sz w:val="32"/>
          <w:szCs w:val="32"/>
        </w:rPr>
        <w:t>0</w:t>
      </w:r>
      <w:r w:rsidRPr="00BA3984">
        <w:rPr>
          <w:rFonts w:asciiTheme="minorEastAsia" w:eastAsiaTheme="minorEastAsia" w:hAnsiTheme="minorEastAsia" w:hint="eastAsia"/>
          <w:color w:val="000000"/>
          <w:sz w:val="32"/>
          <w:szCs w:val="32"/>
        </w:rPr>
        <w:t>万元，上级补助收入</w:t>
      </w:r>
      <w:r w:rsidRPr="00BA3984">
        <w:rPr>
          <w:rFonts w:asciiTheme="minorEastAsia" w:eastAsiaTheme="minorEastAsia" w:hAnsiTheme="minorEastAsia" w:hint="eastAsia"/>
          <w:color w:val="686868"/>
          <w:sz w:val="32"/>
          <w:szCs w:val="32"/>
        </w:rPr>
        <w:t>0</w:t>
      </w:r>
      <w:r w:rsidRPr="00BA3984">
        <w:rPr>
          <w:rFonts w:asciiTheme="minorEastAsia" w:eastAsiaTheme="minorEastAsia" w:hAnsiTheme="minorEastAsia" w:hint="eastAsia"/>
          <w:color w:val="000000"/>
          <w:sz w:val="32"/>
          <w:szCs w:val="32"/>
        </w:rPr>
        <w:t>万元，附属单位上缴收入</w:t>
      </w:r>
      <w:r w:rsidRPr="00BA3984">
        <w:rPr>
          <w:rFonts w:asciiTheme="minorEastAsia" w:eastAsiaTheme="minorEastAsia" w:hAnsiTheme="minorEastAsia" w:hint="eastAsia"/>
          <w:color w:val="686868"/>
          <w:sz w:val="32"/>
          <w:szCs w:val="32"/>
        </w:rPr>
        <w:t>0</w:t>
      </w:r>
      <w:r w:rsidRPr="00BA3984">
        <w:rPr>
          <w:rFonts w:asciiTheme="minorEastAsia" w:eastAsiaTheme="minorEastAsia" w:hAnsiTheme="minorEastAsia" w:hint="eastAsia"/>
          <w:color w:val="000000"/>
          <w:sz w:val="32"/>
          <w:szCs w:val="32"/>
        </w:rPr>
        <w:t>万元，事业单位经营收入</w:t>
      </w:r>
      <w:r w:rsidRPr="00BA3984">
        <w:rPr>
          <w:rFonts w:asciiTheme="minorEastAsia" w:eastAsiaTheme="minorEastAsia" w:hAnsiTheme="minorEastAsia" w:hint="eastAsia"/>
          <w:color w:val="686868"/>
          <w:sz w:val="32"/>
          <w:szCs w:val="32"/>
        </w:rPr>
        <w:t>0</w:t>
      </w:r>
      <w:r w:rsidRPr="00BA3984">
        <w:rPr>
          <w:rFonts w:asciiTheme="minorEastAsia" w:eastAsiaTheme="minorEastAsia" w:hAnsiTheme="minorEastAsia" w:hint="eastAsia"/>
          <w:color w:val="000000"/>
          <w:sz w:val="32"/>
          <w:szCs w:val="32"/>
        </w:rPr>
        <w:t>万元, 其他收入</w:t>
      </w:r>
      <w:r w:rsidRPr="00BA3984">
        <w:rPr>
          <w:rFonts w:asciiTheme="minorEastAsia" w:eastAsiaTheme="minorEastAsia" w:hAnsiTheme="minorEastAsia" w:hint="eastAsia"/>
          <w:color w:val="686868"/>
          <w:sz w:val="32"/>
          <w:szCs w:val="32"/>
        </w:rPr>
        <w:t>XXX</w:t>
      </w:r>
      <w:r w:rsidRPr="00BA3984">
        <w:rPr>
          <w:rFonts w:asciiTheme="minorEastAsia" w:eastAsiaTheme="minorEastAsia" w:hAnsiTheme="minorEastAsia" w:hint="eastAsia"/>
          <w:color w:val="000000"/>
          <w:sz w:val="32"/>
          <w:szCs w:val="32"/>
        </w:rPr>
        <w:t>万元, 上年结转结余</w:t>
      </w:r>
      <w:r w:rsidRPr="00BA3984">
        <w:rPr>
          <w:rFonts w:asciiTheme="minorEastAsia" w:eastAsiaTheme="minorEastAsia" w:hAnsiTheme="minorEastAsia" w:hint="eastAsia"/>
          <w:color w:val="686868"/>
          <w:sz w:val="32"/>
          <w:szCs w:val="32"/>
        </w:rPr>
        <w:t>0</w:t>
      </w:r>
      <w:r w:rsidRPr="00BA3984">
        <w:rPr>
          <w:rFonts w:asciiTheme="minorEastAsia" w:eastAsiaTheme="minorEastAsia" w:hAnsiTheme="minorEastAsia" w:hint="eastAsia"/>
          <w:color w:val="000000"/>
          <w:sz w:val="32"/>
          <w:szCs w:val="32"/>
        </w:rPr>
        <w:t>万元。</w:t>
      </w:r>
    </w:p>
    <w:p w:rsidR="00BA3984" w:rsidRPr="00BA3984" w:rsidRDefault="00BA3984" w:rsidP="00BA3984">
      <w:pPr>
        <w:pStyle w:val="a3"/>
        <w:shd w:val="clear" w:color="auto" w:fill="F8F8F8"/>
        <w:spacing w:before="0" w:beforeAutospacing="0" w:after="0" w:afterAutospacing="0" w:line="658" w:lineRule="atLeast"/>
        <w:ind w:firstLine="66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000000"/>
          <w:sz w:val="32"/>
          <w:szCs w:val="32"/>
        </w:rPr>
        <w:t>2021年支出预算</w:t>
      </w:r>
      <w:r w:rsidRPr="00BA3984">
        <w:rPr>
          <w:rFonts w:asciiTheme="minorEastAsia" w:eastAsiaTheme="minorEastAsia" w:hAnsiTheme="minorEastAsia" w:hint="eastAsia"/>
          <w:color w:val="686868"/>
          <w:sz w:val="32"/>
          <w:szCs w:val="32"/>
        </w:rPr>
        <w:t>1787.1</w:t>
      </w:r>
      <w:r w:rsidRPr="00BA3984">
        <w:rPr>
          <w:rFonts w:asciiTheme="minorEastAsia" w:eastAsiaTheme="minorEastAsia" w:hAnsiTheme="minorEastAsia" w:hint="eastAsia"/>
          <w:color w:val="000000"/>
          <w:sz w:val="32"/>
          <w:szCs w:val="32"/>
        </w:rPr>
        <w:t>万元，比2020年减少144.4万元。其中：人员经费</w:t>
      </w:r>
      <w:r w:rsidRPr="00BA3984">
        <w:rPr>
          <w:rFonts w:asciiTheme="minorEastAsia" w:eastAsiaTheme="minorEastAsia" w:hAnsiTheme="minorEastAsia" w:hint="eastAsia"/>
          <w:color w:val="686868"/>
          <w:sz w:val="32"/>
          <w:szCs w:val="32"/>
        </w:rPr>
        <w:t>1506.9</w:t>
      </w:r>
      <w:r w:rsidRPr="00BA3984">
        <w:rPr>
          <w:rFonts w:asciiTheme="minorEastAsia" w:eastAsiaTheme="minorEastAsia" w:hAnsiTheme="minorEastAsia" w:hint="eastAsia"/>
          <w:color w:val="000000"/>
          <w:sz w:val="32"/>
          <w:szCs w:val="32"/>
        </w:rPr>
        <w:t>万元，公用经费90.4万元，部门预算项目经费</w:t>
      </w:r>
      <w:r w:rsidRPr="00BA3984">
        <w:rPr>
          <w:rFonts w:asciiTheme="minorEastAsia" w:eastAsiaTheme="minorEastAsia" w:hAnsiTheme="minorEastAsia" w:hint="eastAsia"/>
          <w:color w:val="686868"/>
          <w:sz w:val="32"/>
          <w:szCs w:val="32"/>
        </w:rPr>
        <w:t>189.8</w:t>
      </w:r>
      <w:r w:rsidRPr="00BA3984">
        <w:rPr>
          <w:rFonts w:asciiTheme="minorEastAsia" w:eastAsiaTheme="minorEastAsia" w:hAnsiTheme="minorEastAsia" w:hint="eastAsia"/>
          <w:color w:val="000000"/>
          <w:sz w:val="32"/>
          <w:szCs w:val="32"/>
        </w:rPr>
        <w:t>万元,本年预留项目经费</w:t>
      </w:r>
      <w:r w:rsidRPr="00BA3984">
        <w:rPr>
          <w:rFonts w:asciiTheme="minorEastAsia" w:eastAsiaTheme="minorEastAsia" w:hAnsiTheme="minorEastAsia" w:hint="eastAsia"/>
          <w:color w:val="686868"/>
          <w:sz w:val="32"/>
          <w:szCs w:val="32"/>
        </w:rPr>
        <w:t>0</w:t>
      </w:r>
      <w:r w:rsidRPr="00BA3984">
        <w:rPr>
          <w:rFonts w:asciiTheme="minorEastAsia" w:eastAsiaTheme="minorEastAsia" w:hAnsiTheme="minorEastAsia" w:hint="eastAsia"/>
          <w:color w:val="000000"/>
          <w:sz w:val="32"/>
          <w:szCs w:val="32"/>
        </w:rPr>
        <w:t>万元。</w:t>
      </w:r>
    </w:p>
    <w:p w:rsidR="00BA3984" w:rsidRPr="00BA3984" w:rsidRDefault="00BA3984" w:rsidP="00BA3984">
      <w:pPr>
        <w:pStyle w:val="a3"/>
        <w:shd w:val="clear" w:color="auto" w:fill="F8F8F8"/>
        <w:spacing w:before="0" w:beforeAutospacing="0" w:after="0" w:afterAutospacing="0" w:line="658" w:lineRule="atLeast"/>
        <w:ind w:firstLine="66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000000"/>
          <w:sz w:val="32"/>
          <w:szCs w:val="32"/>
        </w:rPr>
        <w:lastRenderedPageBreak/>
        <w:t>年终结转结余0万元。</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二、2021年财政拨款收支预算情况</w:t>
      </w:r>
    </w:p>
    <w:p w:rsidR="00BA3984" w:rsidRPr="00BA3984" w:rsidRDefault="00BA3984" w:rsidP="00BA3984">
      <w:pPr>
        <w:pStyle w:val="a3"/>
        <w:shd w:val="clear" w:color="auto" w:fill="F8F8F8"/>
        <w:spacing w:before="0" w:beforeAutospacing="0" w:after="0" w:afterAutospacing="0" w:line="658" w:lineRule="atLeast"/>
        <w:ind w:firstLine="66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000000"/>
          <w:sz w:val="32"/>
          <w:szCs w:val="32"/>
        </w:rPr>
        <w:t>2021年财政拨款收入预算</w:t>
      </w:r>
      <w:r w:rsidRPr="00BA3984">
        <w:rPr>
          <w:rFonts w:asciiTheme="minorEastAsia" w:eastAsiaTheme="minorEastAsia" w:hAnsiTheme="minorEastAsia" w:hint="eastAsia"/>
          <w:color w:val="686868"/>
          <w:sz w:val="32"/>
          <w:szCs w:val="32"/>
        </w:rPr>
        <w:t>1787.1</w:t>
      </w:r>
      <w:r w:rsidRPr="00BA3984">
        <w:rPr>
          <w:rFonts w:asciiTheme="minorEastAsia" w:eastAsiaTheme="minorEastAsia" w:hAnsiTheme="minorEastAsia" w:hint="eastAsia"/>
          <w:color w:val="000000"/>
          <w:sz w:val="32"/>
          <w:szCs w:val="32"/>
        </w:rPr>
        <w:t>万元，比2020年减少144.4万元。其中：一般公共预算收入</w:t>
      </w:r>
      <w:r w:rsidRPr="00BA3984">
        <w:rPr>
          <w:rFonts w:asciiTheme="minorEastAsia" w:eastAsiaTheme="minorEastAsia" w:hAnsiTheme="minorEastAsia" w:hint="eastAsia"/>
          <w:color w:val="686868"/>
          <w:sz w:val="32"/>
          <w:szCs w:val="32"/>
        </w:rPr>
        <w:t>1787.1</w:t>
      </w:r>
      <w:r w:rsidRPr="00BA3984">
        <w:rPr>
          <w:rFonts w:asciiTheme="minorEastAsia" w:eastAsiaTheme="minorEastAsia" w:hAnsiTheme="minorEastAsia" w:hint="eastAsia"/>
          <w:color w:val="000000"/>
          <w:sz w:val="32"/>
          <w:szCs w:val="32"/>
        </w:rPr>
        <w:t>万元，政府性基金收入0万元，国有资本经营预算收入0万元。</w:t>
      </w:r>
    </w:p>
    <w:p w:rsidR="00BA3984" w:rsidRPr="00BA3984" w:rsidRDefault="00BA3984" w:rsidP="00BA3984">
      <w:pPr>
        <w:pStyle w:val="a3"/>
        <w:shd w:val="clear" w:color="auto" w:fill="F8F8F8"/>
        <w:spacing w:before="0" w:beforeAutospacing="0" w:after="0" w:afterAutospacing="0" w:line="658" w:lineRule="atLeast"/>
        <w:ind w:firstLine="66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000000"/>
          <w:sz w:val="32"/>
          <w:szCs w:val="32"/>
        </w:rPr>
        <w:t>2021年财政拨款支出预算</w:t>
      </w:r>
      <w:r w:rsidRPr="00BA3984">
        <w:rPr>
          <w:rFonts w:asciiTheme="minorEastAsia" w:eastAsiaTheme="minorEastAsia" w:hAnsiTheme="minorEastAsia" w:hint="eastAsia"/>
          <w:color w:val="686868"/>
          <w:sz w:val="32"/>
          <w:szCs w:val="32"/>
        </w:rPr>
        <w:t>1787.1</w:t>
      </w:r>
      <w:r w:rsidRPr="00BA3984">
        <w:rPr>
          <w:rFonts w:asciiTheme="minorEastAsia" w:eastAsiaTheme="minorEastAsia" w:hAnsiTheme="minorEastAsia" w:hint="eastAsia"/>
          <w:color w:val="000000"/>
          <w:sz w:val="32"/>
          <w:szCs w:val="32"/>
        </w:rPr>
        <w:t>万元，比2020年减少144.4万元。按照“人员经费按实际，公用经费按定额，项目经费按需要与可能”的原则编制。其中：人员经费</w:t>
      </w:r>
      <w:r w:rsidRPr="00BA3984">
        <w:rPr>
          <w:rFonts w:asciiTheme="minorEastAsia" w:eastAsiaTheme="minorEastAsia" w:hAnsiTheme="minorEastAsia" w:hint="eastAsia"/>
          <w:color w:val="686868"/>
          <w:sz w:val="32"/>
          <w:szCs w:val="32"/>
        </w:rPr>
        <w:t>1506.9</w:t>
      </w:r>
      <w:r w:rsidRPr="00BA3984">
        <w:rPr>
          <w:rFonts w:asciiTheme="minorEastAsia" w:eastAsiaTheme="minorEastAsia" w:hAnsiTheme="minorEastAsia" w:hint="eastAsia"/>
          <w:color w:val="000000"/>
          <w:sz w:val="32"/>
          <w:szCs w:val="32"/>
        </w:rPr>
        <w:t>万元，公用经费</w:t>
      </w:r>
      <w:r w:rsidRPr="00BA3984">
        <w:rPr>
          <w:rFonts w:asciiTheme="minorEastAsia" w:eastAsiaTheme="minorEastAsia" w:hAnsiTheme="minorEastAsia" w:hint="eastAsia"/>
          <w:color w:val="686868"/>
          <w:sz w:val="32"/>
          <w:szCs w:val="32"/>
        </w:rPr>
        <w:t>90.4</w:t>
      </w:r>
      <w:r w:rsidRPr="00BA3984">
        <w:rPr>
          <w:rFonts w:asciiTheme="minorEastAsia" w:eastAsiaTheme="minorEastAsia" w:hAnsiTheme="minorEastAsia" w:hint="eastAsia"/>
          <w:color w:val="000000"/>
          <w:sz w:val="32"/>
          <w:szCs w:val="32"/>
        </w:rPr>
        <w:t>万元,部门预算项目经费</w:t>
      </w:r>
      <w:r w:rsidRPr="00BA3984">
        <w:rPr>
          <w:rFonts w:asciiTheme="minorEastAsia" w:eastAsiaTheme="minorEastAsia" w:hAnsiTheme="minorEastAsia" w:hint="eastAsia"/>
          <w:color w:val="686868"/>
          <w:sz w:val="32"/>
          <w:szCs w:val="32"/>
        </w:rPr>
        <w:t>189.8</w:t>
      </w:r>
      <w:r w:rsidRPr="00BA3984">
        <w:rPr>
          <w:rFonts w:asciiTheme="minorEastAsia" w:eastAsiaTheme="minorEastAsia" w:hAnsiTheme="minorEastAsia" w:hint="eastAsia"/>
          <w:color w:val="000000"/>
          <w:sz w:val="32"/>
          <w:szCs w:val="32"/>
        </w:rPr>
        <w:t>万元,本年预留项目经费 </w:t>
      </w:r>
      <w:r w:rsidRPr="00BA3984">
        <w:rPr>
          <w:rFonts w:asciiTheme="minorEastAsia" w:eastAsiaTheme="minorEastAsia" w:hAnsiTheme="minorEastAsia" w:hint="eastAsia"/>
          <w:color w:val="686868"/>
          <w:sz w:val="32"/>
          <w:szCs w:val="32"/>
        </w:rPr>
        <w:t>0</w:t>
      </w:r>
      <w:r w:rsidRPr="00BA3984">
        <w:rPr>
          <w:rFonts w:asciiTheme="minorEastAsia" w:eastAsiaTheme="minorEastAsia" w:hAnsiTheme="minorEastAsia" w:hint="eastAsia"/>
          <w:color w:val="000000"/>
          <w:sz w:val="32"/>
          <w:szCs w:val="32"/>
        </w:rPr>
        <w:t> 万元。</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三、2021年一般公共预算支出预算情况</w:t>
      </w:r>
    </w:p>
    <w:p w:rsidR="00BA3984" w:rsidRPr="00BA3984" w:rsidRDefault="00BA3984" w:rsidP="00BA3984">
      <w:pPr>
        <w:pStyle w:val="a3"/>
        <w:shd w:val="clear" w:color="auto" w:fill="F8F8F8"/>
        <w:spacing w:before="0" w:beforeAutospacing="0" w:after="0" w:afterAutospacing="0" w:line="658" w:lineRule="atLeast"/>
        <w:ind w:firstLine="643"/>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b/>
          <w:bCs/>
          <w:color w:val="000000"/>
          <w:sz w:val="32"/>
          <w:szCs w:val="32"/>
        </w:rPr>
        <w:t>（一）一般公共预算支出总体情况</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000000"/>
          <w:sz w:val="32"/>
          <w:szCs w:val="32"/>
        </w:rPr>
        <w:t>2021年一般公共预算支出</w:t>
      </w:r>
      <w:r w:rsidRPr="00BA3984">
        <w:rPr>
          <w:rFonts w:asciiTheme="minorEastAsia" w:eastAsiaTheme="minorEastAsia" w:hAnsiTheme="minorEastAsia" w:hint="eastAsia"/>
          <w:color w:val="686868"/>
          <w:sz w:val="32"/>
          <w:szCs w:val="32"/>
        </w:rPr>
        <w:t>1787.1</w:t>
      </w:r>
      <w:r w:rsidRPr="00BA3984">
        <w:rPr>
          <w:rFonts w:asciiTheme="minorEastAsia" w:eastAsiaTheme="minorEastAsia" w:hAnsiTheme="minorEastAsia" w:hint="eastAsia"/>
          <w:color w:val="000000"/>
          <w:sz w:val="32"/>
          <w:szCs w:val="32"/>
        </w:rPr>
        <w:t>万元，占本年支出合计的100%。与2020年相比，一般公共预算支出减少144.4万元，减少6.5%。主要原因：人员减少，相应的人员经费和公用经费减少。</w:t>
      </w:r>
    </w:p>
    <w:p w:rsidR="00BA3984" w:rsidRPr="00BA3984" w:rsidRDefault="00BA3984" w:rsidP="00BA3984">
      <w:pPr>
        <w:pStyle w:val="a3"/>
        <w:shd w:val="clear" w:color="auto" w:fill="F8F8F8"/>
        <w:spacing w:before="0" w:beforeAutospacing="0" w:after="0" w:afterAutospacing="0" w:line="658" w:lineRule="atLeast"/>
        <w:ind w:firstLine="643"/>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b/>
          <w:bCs/>
          <w:color w:val="000000"/>
          <w:sz w:val="32"/>
          <w:szCs w:val="32"/>
        </w:rPr>
        <w:t>（二）一般公共预算支出结构</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2021年一般公共预算支出1787.1万元，主要用于以下方面：</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lastRenderedPageBreak/>
        <w:t>1、一般公共服务支出（类） 1253.4万元，比2020年预算减少112.6万元，减少8%。主要原因是：人员减少，费用减少。</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2、社会保障和就业支出169.5万元，比2020年预算减少2.6万元，下降1.5%。主要原因是：人员减少，费用减少。</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3.卫生健康支出146.2万元，比2020年预算减少10.2万元，减少6.5%。主要原因是：人员减少，费用减少。</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4.住房保障支出218万元，比2020年减少19万元，减少8%。主要原因是：人员减少，费用减少。</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686868"/>
          <w:sz w:val="32"/>
          <w:szCs w:val="32"/>
        </w:rPr>
        <w:t>四、2021年一般公共预算基本支出情况</w:t>
      </w:r>
    </w:p>
    <w:p w:rsidR="00BA3984" w:rsidRPr="00BA3984" w:rsidRDefault="00BA3984" w:rsidP="00BA3984">
      <w:pPr>
        <w:pStyle w:val="a3"/>
        <w:shd w:val="clear" w:color="auto" w:fill="F8F8F8"/>
        <w:spacing w:before="0" w:beforeAutospacing="0" w:after="0" w:afterAutospacing="0" w:line="658" w:lineRule="atLeast"/>
        <w:ind w:firstLine="640"/>
        <w:rPr>
          <w:rFonts w:asciiTheme="minorEastAsia" w:eastAsiaTheme="minorEastAsia" w:hAnsiTheme="minorEastAsia" w:hint="eastAsia"/>
          <w:color w:val="686868"/>
          <w:sz w:val="29"/>
          <w:szCs w:val="29"/>
        </w:rPr>
      </w:pPr>
      <w:r w:rsidRPr="00BA3984">
        <w:rPr>
          <w:rFonts w:asciiTheme="minorEastAsia" w:eastAsiaTheme="minorEastAsia" w:hAnsiTheme="minorEastAsia" w:hint="eastAsia"/>
          <w:color w:val="000000"/>
          <w:sz w:val="32"/>
          <w:szCs w:val="32"/>
        </w:rPr>
        <w:t>2021年一般公共预算基本支出1787.1万元，包括人员经费1506.9万元，公用经费280.2万元。其中：</w:t>
      </w:r>
    </w:p>
    <w:p w:rsidR="00BA3984" w:rsidRPr="00BA3984" w:rsidRDefault="00BA3984" w:rsidP="00BA3984">
      <w:pPr>
        <w:pStyle w:val="a3"/>
        <w:numPr>
          <w:ilvl w:val="0"/>
          <w:numId w:val="1"/>
        </w:numPr>
        <w:shd w:val="clear" w:color="auto" w:fill="F8F8F8"/>
        <w:spacing w:before="0" w:beforeAutospacing="0" w:after="0" w:afterAutospacing="0" w:line="658" w:lineRule="atLeast"/>
        <w:ind w:left="0" w:firstLine="480"/>
        <w:rPr>
          <w:rFonts w:asciiTheme="minorEastAsia" w:eastAsiaTheme="minorEastAsia" w:hAnsiTheme="minorEastAsia" w:hint="eastAsia"/>
          <w:color w:val="000000"/>
          <w:sz w:val="29"/>
          <w:szCs w:val="29"/>
        </w:rPr>
      </w:pPr>
      <w:r w:rsidRPr="00BA3984">
        <w:rPr>
          <w:rFonts w:asciiTheme="minorEastAsia" w:eastAsiaTheme="minorEastAsia" w:hAnsiTheme="minorEastAsia" w:hint="eastAsia"/>
          <w:color w:val="000000"/>
          <w:sz w:val="32"/>
          <w:szCs w:val="32"/>
        </w:rPr>
        <w:t>工资福利支出1490.4万元，主要用于：基本工资661.9万元、</w:t>
      </w:r>
    </w:p>
    <w:p w:rsidR="00BA3984" w:rsidRPr="00BA3984" w:rsidRDefault="00BA3984" w:rsidP="00BA3984">
      <w:pPr>
        <w:pStyle w:val="a3"/>
        <w:shd w:val="clear" w:color="auto" w:fill="F8F8F8"/>
        <w:spacing w:before="0" w:beforeAutospacing="0" w:after="0" w:afterAutospacing="0" w:line="658" w:lineRule="atLeast"/>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津贴补贴254.6万元、绩效工资121.4万元、职工基本医疗保险缴费78万元、机关事业单位基本养老保险缴费156万元、其他社会保障缴费22.5万元、住房公积金127.8万元、公务员医疗补助缴费68.2万元。</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2、商品和服务支出280.2万元，主要用于：邮电费8.3万元、公务接待费16.3万元、公务用车运行费38万元、差旅费15万元、维修（护）费102万元、福利费2.3万元、</w:t>
      </w:r>
      <w:r w:rsidRPr="00BA3984">
        <w:rPr>
          <w:rFonts w:asciiTheme="minorEastAsia" w:eastAsiaTheme="minorEastAsia" w:hAnsiTheme="minorEastAsia" w:hint="eastAsia"/>
          <w:color w:val="000000"/>
          <w:sz w:val="32"/>
          <w:szCs w:val="32"/>
        </w:rPr>
        <w:lastRenderedPageBreak/>
        <w:t>办公费35.9万元、工会经费20.6万元、印刷费4万元、取暖费7.4万元、退休人员公用经费1.1万元、手续费0.1万元、水费0.2万元、培训费0.2万元、专用材料费0.5万元、劳务费27.8万元、其他交通费用0.5万元。</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3.对个人和家庭的补助支出16.5万元，主要用于：退休费12.4万元、社会福利和救助3.9万元、奖励金0.2万元。</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五、“三公”经费预算情况说明</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庄河市经济发展服务中心2021年“</w:t>
      </w:r>
      <w:r w:rsidRPr="00BA3984">
        <w:rPr>
          <w:rFonts w:asciiTheme="minorEastAsia" w:eastAsiaTheme="minorEastAsia" w:hAnsiTheme="minorEastAsia" w:cs="Times New Roman"/>
          <w:color w:val="000000"/>
          <w:sz w:val="32"/>
          <w:szCs w:val="32"/>
        </w:rPr>
        <w:t>三公</w:t>
      </w:r>
      <w:r w:rsidRPr="00BA3984">
        <w:rPr>
          <w:rFonts w:asciiTheme="minorEastAsia" w:eastAsiaTheme="minorEastAsia" w:hAnsiTheme="minorEastAsia" w:hint="eastAsia"/>
          <w:color w:val="000000"/>
          <w:sz w:val="32"/>
          <w:szCs w:val="32"/>
        </w:rPr>
        <w:t>”</w:t>
      </w:r>
      <w:r w:rsidRPr="00BA3984">
        <w:rPr>
          <w:rFonts w:asciiTheme="minorEastAsia" w:eastAsiaTheme="minorEastAsia" w:hAnsiTheme="minorEastAsia" w:cs="Times New Roman"/>
          <w:color w:val="000000"/>
          <w:sz w:val="32"/>
          <w:szCs w:val="32"/>
        </w:rPr>
        <w:t>经费财政拨款预算为54.3万元，包括庄河市经济发展服务中心本部以及下属0家与市级财政有经费领拨关系的预算单位使用市级财政拨款预算安排的因公出国（境）费、公务接待费、公务用车购置及运行费，比2020年预算减少30.1万元。其中：</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因公出国（境）费预算0万元，主要安排机关及下属预算单位人员的国际合作交流、重大项目洽谈、境外培训研修等的国际旅费、国外城市间交通费、住宿费、伙食费、保险费、公杂费等支出。比2020年预算增加0万元。 主要原因是：2020年和2021年均未安排此项支出。</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公务接待费预算16.3万元，主要安排全国性专业会议、国家重大政策调研、专项检查以及外事团组接待交流等执行公务或开展业务所需住宿费、交通费、伙食费等支出。比2020年预算减少15.1万元，主要原因是按照中央及市委、市政</w:t>
      </w:r>
      <w:r w:rsidRPr="00BA3984">
        <w:rPr>
          <w:rFonts w:asciiTheme="minorEastAsia" w:eastAsiaTheme="minorEastAsia" w:hAnsiTheme="minorEastAsia" w:hint="eastAsia"/>
          <w:color w:val="000000"/>
          <w:sz w:val="32"/>
          <w:szCs w:val="32"/>
        </w:rPr>
        <w:lastRenderedPageBreak/>
        <w:t>府关于厉行节约、改进工作作风、密切联系群众“八项规定”等有关规定，严格控制“三公”经费支出，压减公务接待费。</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 公务用车购置及运行费预算38万元（其中，公务用车购置费0万元，公务用车运行费38万元），主要安排编制内公务车辆的报废更新，以及用于安排市内因公出差、公务文件交换、日常工作开展等所需公务用车燃料费、维修费、过路过桥费、保险费等支出。比2020年预算减少15万元，主要原因是按照中央及市委、市政府关于厉行节约、改进工作作风、密切联系群众“八项规定”等有关规定，严格控制“三公”经费支出，压减公务用车购置及运行费。</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六、政府性基金预算支出情况</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2021年本部门无政府性基金预算。</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七、国有资本经营预算支出情况</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2021年度本部门无国有资本经营预算。</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八、其他重要事项的情况说明</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（一）专家评审费项目情况</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1、项目概述</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为保证政府采购项目公开、公平、公正。提高政府采购资金的使用效益，维护国家利益和社会公共利益，保护政府采购当事人的合法权益，促进廉政建设。聘请专家对我市政府采购项目进行评审和验收。</w:t>
      </w:r>
    </w:p>
    <w:p w:rsidR="00BA3984" w:rsidRPr="00BA3984" w:rsidRDefault="00BA3984" w:rsidP="00BA3984">
      <w:pPr>
        <w:pStyle w:val="a3"/>
        <w:numPr>
          <w:ilvl w:val="0"/>
          <w:numId w:val="1"/>
        </w:numPr>
        <w:shd w:val="clear" w:color="auto" w:fill="F8F8F8"/>
        <w:spacing w:before="0" w:beforeAutospacing="0" w:after="0" w:afterAutospacing="0" w:line="658" w:lineRule="atLeast"/>
        <w:ind w:left="0"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lastRenderedPageBreak/>
        <w:t>立项依据</w:t>
      </w:r>
    </w:p>
    <w:p w:rsidR="00BA3984" w:rsidRPr="00BA3984" w:rsidRDefault="00BA3984" w:rsidP="00BA3984">
      <w:pPr>
        <w:pStyle w:val="a3"/>
        <w:shd w:val="clear" w:color="auto" w:fill="F8F8F8"/>
        <w:spacing w:before="0" w:beforeAutospacing="0" w:after="0" w:afterAutospacing="0" w:line="658" w:lineRule="atLeast"/>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（1）大财采﹝</w:t>
      </w:r>
      <w:r w:rsidRPr="00BA3984">
        <w:rPr>
          <w:rFonts w:asciiTheme="minorEastAsia" w:eastAsiaTheme="minorEastAsia" w:hAnsiTheme="minorEastAsia" w:cs="Times New Roman"/>
          <w:color w:val="000000"/>
          <w:sz w:val="32"/>
          <w:szCs w:val="32"/>
        </w:rPr>
        <w:t>2018</w:t>
      </w:r>
      <w:r w:rsidRPr="00BA3984">
        <w:rPr>
          <w:rFonts w:asciiTheme="minorEastAsia" w:eastAsiaTheme="minorEastAsia" w:hAnsiTheme="minorEastAsia" w:hint="eastAsia"/>
          <w:color w:val="000000"/>
          <w:sz w:val="32"/>
          <w:szCs w:val="32"/>
        </w:rPr>
        <w:t>﹞</w:t>
      </w:r>
      <w:r w:rsidRPr="00BA3984">
        <w:rPr>
          <w:rFonts w:asciiTheme="minorEastAsia" w:eastAsiaTheme="minorEastAsia" w:hAnsiTheme="minorEastAsia" w:cs="Times New Roman"/>
          <w:color w:val="000000"/>
          <w:sz w:val="32"/>
          <w:szCs w:val="32"/>
        </w:rPr>
        <w:t>1161</w:t>
      </w:r>
      <w:r w:rsidRPr="00BA3984">
        <w:rPr>
          <w:rFonts w:asciiTheme="minorEastAsia" w:eastAsiaTheme="minorEastAsia" w:hAnsiTheme="minorEastAsia" w:hint="eastAsia"/>
          <w:color w:val="000000"/>
          <w:sz w:val="32"/>
          <w:szCs w:val="32"/>
        </w:rPr>
        <w:t>号关于印发《大连市政府采购评审专</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家管理办法》的通知</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    （2）《大连市政府采购评审专家计酬管理办法》</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3、实施主体</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项目具体组织实施的部门为庄河市经济发展服务中心。</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实施方案</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落实专项资金使用要求，规范使用范围，在使用中做到专款专用，</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严格履行相关审核程序。严格按照</w:t>
      </w:r>
      <w:r w:rsidRPr="00BA3984">
        <w:rPr>
          <w:rFonts w:asciiTheme="minorEastAsia" w:eastAsiaTheme="minorEastAsia" w:hAnsiTheme="minorEastAsia" w:cs="Times New Roman"/>
          <w:color w:val="000000"/>
          <w:sz w:val="32"/>
          <w:szCs w:val="32"/>
        </w:rPr>
        <w:t>《大连市政府采购评审专家管理办法》的规定，在采购项目开评标及验收时通过</w:t>
      </w:r>
      <w:r w:rsidRPr="00BA3984">
        <w:rPr>
          <w:rFonts w:asciiTheme="minorEastAsia" w:eastAsiaTheme="minorEastAsia" w:hAnsiTheme="minorEastAsia" w:hint="eastAsia"/>
          <w:color w:val="000000"/>
          <w:sz w:val="32"/>
          <w:szCs w:val="32"/>
        </w:rPr>
        <w:t>大连市财政局评审专家管理系统按程序分项目从“大连市政府采购专家库”抽取评审专家。严格按照</w:t>
      </w:r>
      <w:r w:rsidRPr="00BA3984">
        <w:rPr>
          <w:rFonts w:asciiTheme="minorEastAsia" w:eastAsiaTheme="minorEastAsia" w:hAnsiTheme="minorEastAsia" w:cs="Times New Roman"/>
          <w:color w:val="000000"/>
          <w:sz w:val="32"/>
          <w:szCs w:val="32"/>
        </w:rPr>
        <w:t>《大连市政府采购评审专家计酬管理办法》的规定发放评审专家评审费。</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5、实施周期</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项目从2021年1月1日起始到2021年12月31日终止。</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6、年度预算安排</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2021年拟安排该项目一般公共预算27.8万元。</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（二）系统维护费</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1、项目概述</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lastRenderedPageBreak/>
        <w:t>在大连市财政局票据管理中心的指导下，借鉴市本级财政 票据智能卡的实施经验和效果，采用大连市财政局财政票据智能卡软件，全面实现票据电子化管理，为了保证国库收付记账系统正常运行，为了保证交易平台系统、国库收付系统正常运行，需对相关系统进行日常维修维护。截止目前，系统运行稳定、可靠，取得了较好的应用效果。</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cs="Times New Roman"/>
          <w:color w:val="000000"/>
          <w:sz w:val="32"/>
          <w:szCs w:val="32"/>
        </w:rPr>
        <w:t>2.</w:t>
      </w:r>
      <w:r w:rsidRPr="00BA3984">
        <w:rPr>
          <w:rFonts w:asciiTheme="minorEastAsia" w:eastAsiaTheme="minorEastAsia" w:hAnsiTheme="minorEastAsia" w:hint="eastAsia"/>
          <w:color w:val="000000"/>
          <w:sz w:val="32"/>
          <w:szCs w:val="32"/>
        </w:rPr>
        <w:t>立项依据</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《关于印发大连市非税收入收缴电子化暨电子票据管理改革实施方案的通知》（大财综〔2019〕654号）、财政部、 国家卫健委、 医保局印发 《关于全面推行医疗收费电子票据管理改革的通知》、辽宁省财政厅、 卫健委、 医保局印发《关于做好全面推行医 疗收费电子票据管理改革工作的通知》、我市转发《关于做好全面推进医疗收费电子票据管理改 革工作的通知》 </w:t>
      </w:r>
      <w:r w:rsidRPr="00BA3984">
        <w:rPr>
          <w:rFonts w:asciiTheme="minorEastAsia" w:eastAsiaTheme="minorEastAsia" w:hAnsiTheme="minorEastAsia" w:cs="仿宋" w:hint="eastAsia"/>
          <w:color w:val="000000"/>
          <w:sz w:val="32"/>
          <w:szCs w:val="32"/>
        </w:rPr>
        <w:t>(</w:t>
      </w:r>
      <w:r w:rsidRPr="00BA3984">
        <w:rPr>
          <w:rFonts w:asciiTheme="minorEastAsia" w:eastAsiaTheme="minorEastAsia" w:hAnsiTheme="minorEastAsia" w:hint="eastAsia"/>
          <w:color w:val="000000"/>
          <w:sz w:val="32"/>
          <w:szCs w:val="32"/>
        </w:rPr>
        <w:t>大财综 </w:t>
      </w:r>
      <w:r w:rsidRPr="00BA3984">
        <w:rPr>
          <w:rFonts w:asciiTheme="minorEastAsia" w:eastAsiaTheme="minorEastAsia" w:hAnsiTheme="minorEastAsia" w:cs="仿宋" w:hint="eastAsia"/>
          <w:color w:val="000000"/>
          <w:sz w:val="32"/>
          <w:szCs w:val="32"/>
        </w:rPr>
        <w:t>2020 58</w:t>
      </w:r>
      <w:r w:rsidRPr="00BA3984">
        <w:rPr>
          <w:rFonts w:asciiTheme="minorEastAsia" w:eastAsiaTheme="minorEastAsia" w:hAnsiTheme="minorEastAsia" w:hint="eastAsia"/>
          <w:color w:val="000000"/>
          <w:sz w:val="32"/>
          <w:szCs w:val="32"/>
        </w:rPr>
        <w:t> 号)</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cs="Times New Roman"/>
          <w:color w:val="000000"/>
          <w:sz w:val="32"/>
          <w:szCs w:val="32"/>
        </w:rPr>
        <w:t>3</w:t>
      </w:r>
      <w:r w:rsidRPr="00BA3984">
        <w:rPr>
          <w:rFonts w:asciiTheme="minorEastAsia" w:eastAsiaTheme="minorEastAsia" w:hAnsiTheme="minorEastAsia" w:hint="eastAsia"/>
          <w:color w:val="000000"/>
          <w:sz w:val="32"/>
          <w:szCs w:val="32"/>
        </w:rPr>
        <w:t>、实施主体</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项目具体组织实施的部门为庄河市经济发展服务中心。</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4.实施方案</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为了保证项目资金使用规范、合理，达到预期目标，取得实际效果，根据单位实际情况，制定《财务管理制度》等，在具体实施过程中，严格执行各项管理制度，各种费用的支出严格按有关合同和规定标准执行。</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cs="Times New Roman"/>
          <w:color w:val="000000"/>
          <w:sz w:val="32"/>
          <w:szCs w:val="32"/>
        </w:rPr>
        <w:lastRenderedPageBreak/>
        <w:t>5</w:t>
      </w:r>
      <w:r w:rsidRPr="00BA3984">
        <w:rPr>
          <w:rFonts w:asciiTheme="minorEastAsia" w:eastAsiaTheme="minorEastAsia" w:hAnsiTheme="minorEastAsia" w:hint="eastAsia"/>
          <w:color w:val="000000"/>
          <w:sz w:val="32"/>
          <w:szCs w:val="32"/>
        </w:rPr>
        <w:t>、实施周期</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项目从2021年1月1日起始到2021年12月31日终止。</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6、年度预算安排</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2021年拟安排该项目一般公共预算122万元。</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（三）协助招商费</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1、项目概述</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为了提升了庄河的知名度，积极组织开展的政治、经济、文化交流活动，构建全方位的工作网络，拓展工作平台，疏通信息渠道，通过开展各类老乡座谈会，行业交流会等方式，向在外老乡通报了庄河经济社会发展情况，同时收到了老乡们对庄河发展的宝贵意见。按照“热情周到，规范服务，节俭务实，突出特色”原则和“八项规定”要求，努力做好接待服务工作。多渠道推介庄河。充分利用座谈会、推介会、媒体平台等渠道，大力宣传庄河招商引资政策和旅游资源，提升了庄河的知名度。</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cs="Times New Roman"/>
          <w:color w:val="000000"/>
          <w:sz w:val="32"/>
          <w:szCs w:val="32"/>
        </w:rPr>
        <w:t>2</w:t>
      </w:r>
      <w:r w:rsidRPr="00BA3984">
        <w:rPr>
          <w:rFonts w:asciiTheme="minorEastAsia" w:eastAsiaTheme="minorEastAsia" w:hAnsiTheme="minorEastAsia" w:hint="eastAsia"/>
          <w:color w:val="000000"/>
          <w:sz w:val="32"/>
          <w:szCs w:val="32"/>
        </w:rPr>
        <w:t>、实施主体</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项目具体组织实施的部门为庄河市经济发展服务中心。</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3.实施方案</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为了保证项目资金使用规范、合理，达到预期目标，取得实际效果，根据单位实际情况，制定《财务管理制度》、《差旅费报销制度》等，在具体实施过程中，严格执行各项</w:t>
      </w:r>
      <w:r w:rsidRPr="00BA3984">
        <w:rPr>
          <w:rFonts w:asciiTheme="minorEastAsia" w:eastAsiaTheme="minorEastAsia" w:hAnsiTheme="minorEastAsia" w:hint="eastAsia"/>
          <w:color w:val="000000"/>
          <w:sz w:val="32"/>
          <w:szCs w:val="32"/>
        </w:rPr>
        <w:lastRenderedPageBreak/>
        <w:t>管理制度，在差旅费、交通费、伙食补助费、公务接待费和会议费等报销标准严格执行市委办公室及财政局相关文件精神。</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cs="Times New Roman"/>
          <w:color w:val="000000"/>
          <w:sz w:val="32"/>
          <w:szCs w:val="32"/>
        </w:rPr>
        <w:t>4</w:t>
      </w:r>
      <w:r w:rsidRPr="00BA3984">
        <w:rPr>
          <w:rFonts w:asciiTheme="minorEastAsia" w:eastAsiaTheme="minorEastAsia" w:hAnsiTheme="minorEastAsia" w:hint="eastAsia"/>
          <w:color w:val="000000"/>
          <w:sz w:val="32"/>
          <w:szCs w:val="32"/>
        </w:rPr>
        <w:t>、实施周期</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项目从2021年1月1日起始到2021年12月31日终止。</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5、年度预算安排</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2021年拟安排该项目一般公共预算40万元。</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（四）机关（事业）运行经费预算</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机关（事业）运行经费是指行政机关（事业）使用一般公共预算财政拨款安排的基本支出中的日常公用经费支出。2021年庄河市经济发展服务中心机关(事业)运行经费财政拨款预算90.4万元, 比2020年预算减少4.4万元，减少4.6%，主要原因是人员减少，费用减少。</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（五）政府采购情况</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2021年度本部门政府采购预算19万元，其中：货物类预算9万元、服务类预算10万元、工程类预算0万元。</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（六）预算绩效情况</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2021年，按照“先有绩效，后有预算”原则，本部门共计编制绩效目标3个，预算金额189.8万元，占项目支出预算比重100%。</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(七) 国有资产占有使用情况</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lastRenderedPageBreak/>
        <w:t>截至2020</w:t>
      </w:r>
      <w:r w:rsidRPr="00BA3984">
        <w:rPr>
          <w:rFonts w:asciiTheme="minorEastAsia" w:eastAsiaTheme="minorEastAsia" w:hAnsiTheme="minorEastAsia" w:cs="Times New Roman"/>
          <w:color w:val="000000"/>
          <w:sz w:val="32"/>
          <w:szCs w:val="32"/>
        </w:rPr>
        <w:t>年</w:t>
      </w:r>
      <w:r w:rsidRPr="00BA3984">
        <w:rPr>
          <w:rFonts w:asciiTheme="minorEastAsia" w:eastAsiaTheme="minorEastAsia" w:hAnsiTheme="minorEastAsia" w:hint="eastAsia"/>
          <w:color w:val="000000"/>
          <w:sz w:val="32"/>
          <w:szCs w:val="32"/>
        </w:rPr>
        <w:t>12</w:t>
      </w:r>
      <w:r w:rsidRPr="00BA3984">
        <w:rPr>
          <w:rFonts w:asciiTheme="minorEastAsia" w:eastAsiaTheme="minorEastAsia" w:hAnsiTheme="minorEastAsia" w:cs="Times New Roman"/>
          <w:color w:val="000000"/>
          <w:sz w:val="32"/>
          <w:szCs w:val="32"/>
        </w:rPr>
        <w:t>月</w:t>
      </w:r>
      <w:r w:rsidRPr="00BA3984">
        <w:rPr>
          <w:rFonts w:asciiTheme="minorEastAsia" w:eastAsiaTheme="minorEastAsia" w:hAnsiTheme="minorEastAsia" w:hint="eastAsia"/>
          <w:color w:val="000000"/>
          <w:sz w:val="32"/>
          <w:szCs w:val="32"/>
        </w:rPr>
        <w:t>31</w:t>
      </w:r>
      <w:r w:rsidRPr="00BA3984">
        <w:rPr>
          <w:rFonts w:asciiTheme="minorEastAsia" w:eastAsiaTheme="minorEastAsia" w:hAnsiTheme="minorEastAsia" w:cs="Times New Roman"/>
          <w:color w:val="000000"/>
          <w:sz w:val="32"/>
          <w:szCs w:val="32"/>
        </w:rPr>
        <w:t>日，本部门共有车辆</w:t>
      </w:r>
      <w:r w:rsidRPr="00BA3984">
        <w:rPr>
          <w:rFonts w:asciiTheme="minorEastAsia" w:eastAsiaTheme="minorEastAsia" w:hAnsiTheme="minorEastAsia" w:hint="eastAsia"/>
          <w:color w:val="000000"/>
          <w:sz w:val="32"/>
          <w:szCs w:val="32"/>
        </w:rPr>
        <w:t>6辆，其中，副部（省）级及以上领导用车0辆，主要领导干部用车0辆，机要通信用车6辆，应急保障用车0辆, 执法执勤用车0辆，特种专业技术用车0辆，离退休干部用车0辆，其他用车0辆。单位价值50</w:t>
      </w:r>
      <w:r w:rsidRPr="00BA3984">
        <w:rPr>
          <w:rFonts w:asciiTheme="minorEastAsia" w:eastAsiaTheme="minorEastAsia" w:hAnsiTheme="minorEastAsia" w:cs="Times New Roman"/>
          <w:color w:val="000000"/>
          <w:sz w:val="32"/>
          <w:szCs w:val="32"/>
        </w:rPr>
        <w:t>万元以上通用设备</w:t>
      </w:r>
      <w:r w:rsidRPr="00BA3984">
        <w:rPr>
          <w:rFonts w:asciiTheme="minorEastAsia" w:eastAsiaTheme="minorEastAsia" w:hAnsiTheme="minorEastAsia" w:hint="eastAsia"/>
          <w:color w:val="000000"/>
          <w:sz w:val="32"/>
          <w:szCs w:val="32"/>
        </w:rPr>
        <w:t>0台（套），单位价值100</w:t>
      </w:r>
      <w:r w:rsidRPr="00BA3984">
        <w:rPr>
          <w:rFonts w:asciiTheme="minorEastAsia" w:eastAsiaTheme="minorEastAsia" w:hAnsiTheme="minorEastAsia" w:cs="Times New Roman"/>
          <w:color w:val="000000"/>
          <w:sz w:val="32"/>
          <w:szCs w:val="32"/>
        </w:rPr>
        <w:t>万元以上专用设备</w:t>
      </w:r>
      <w:r w:rsidRPr="00BA3984">
        <w:rPr>
          <w:rFonts w:asciiTheme="minorEastAsia" w:eastAsiaTheme="minorEastAsia" w:hAnsiTheme="minorEastAsia" w:hint="eastAsia"/>
          <w:color w:val="000000"/>
          <w:sz w:val="32"/>
          <w:szCs w:val="32"/>
        </w:rPr>
        <w:t>0台（套）。</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 </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44"/>
          <w:szCs w:val="44"/>
        </w:rPr>
        <w:t> </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44"/>
          <w:szCs w:val="44"/>
        </w:rPr>
        <w:t> </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44"/>
          <w:szCs w:val="44"/>
        </w:rPr>
        <w:t> </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44"/>
          <w:szCs w:val="44"/>
        </w:rPr>
        <w:t> </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44"/>
          <w:szCs w:val="44"/>
        </w:rPr>
        <w:t>第四部分 </w:t>
      </w:r>
    </w:p>
    <w:p w:rsidR="00BA3984" w:rsidRPr="00BA3984" w:rsidRDefault="00BA3984" w:rsidP="00BA3984">
      <w:pPr>
        <w:pStyle w:val="a3"/>
        <w:shd w:val="clear" w:color="auto" w:fill="F8F8F8"/>
        <w:spacing w:before="0" w:beforeAutospacing="0" w:after="0" w:afterAutospacing="0" w:line="658" w:lineRule="atLeast"/>
        <w:ind w:firstLine="480"/>
        <w:jc w:val="center"/>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44"/>
          <w:szCs w:val="44"/>
        </w:rPr>
        <w:t>名词解释</w:t>
      </w:r>
    </w:p>
    <w:p w:rsidR="00BA3984" w:rsidRPr="00BA3984" w:rsidRDefault="00BA3984" w:rsidP="00BA3984">
      <w:pPr>
        <w:pStyle w:val="a3"/>
        <w:numPr>
          <w:ilvl w:val="0"/>
          <w:numId w:val="2"/>
        </w:numPr>
        <w:shd w:val="clear" w:color="auto" w:fill="F8F8F8"/>
        <w:spacing w:before="0" w:beforeAutospacing="0" w:after="0" w:afterAutospacing="0" w:line="658" w:lineRule="atLeast"/>
        <w:ind w:left="0" w:firstLine="480"/>
        <w:rPr>
          <w:rFonts w:asciiTheme="minorEastAsia" w:eastAsiaTheme="minorEastAsia" w:hAnsiTheme="minorEastAsia" w:hint="eastAsia"/>
          <w:color w:val="000000"/>
          <w:sz w:val="29"/>
          <w:szCs w:val="29"/>
        </w:rPr>
      </w:pPr>
      <w:r w:rsidRPr="00BA3984">
        <w:rPr>
          <w:rFonts w:asciiTheme="minorEastAsia" w:eastAsiaTheme="minorEastAsia" w:hAnsiTheme="minorEastAsia" w:hint="eastAsia"/>
          <w:b/>
          <w:bCs/>
          <w:color w:val="000000"/>
          <w:sz w:val="32"/>
          <w:szCs w:val="32"/>
        </w:rPr>
        <w:t>财政拨款收入：</w:t>
      </w:r>
      <w:r w:rsidRPr="00BA3984">
        <w:rPr>
          <w:rFonts w:asciiTheme="minorEastAsia" w:eastAsiaTheme="minorEastAsia" w:hAnsiTheme="minorEastAsia" w:hint="eastAsia"/>
          <w:color w:val="000000"/>
          <w:sz w:val="32"/>
          <w:szCs w:val="32"/>
        </w:rPr>
        <w:t>指市财政当年拨付的资金。</w:t>
      </w:r>
    </w:p>
    <w:p w:rsidR="00BA3984" w:rsidRPr="00BA3984" w:rsidRDefault="00BA3984" w:rsidP="00BA3984">
      <w:pPr>
        <w:pStyle w:val="a3"/>
        <w:shd w:val="clear" w:color="auto" w:fill="F8F8F8"/>
        <w:spacing w:before="0" w:beforeAutospacing="0" w:after="0" w:afterAutospacing="0" w:line="658" w:lineRule="atLeast"/>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2.事业收入：</w:t>
      </w:r>
      <w:r w:rsidRPr="00BA3984">
        <w:rPr>
          <w:rFonts w:asciiTheme="minorEastAsia" w:eastAsiaTheme="minorEastAsia" w:hAnsiTheme="minorEastAsia" w:hint="eastAsia"/>
          <w:color w:val="000000"/>
          <w:sz w:val="32"/>
          <w:szCs w:val="32"/>
        </w:rPr>
        <w:t>指事业单位开展专业业务活动及其辅助活动取得的收入。</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3.经营收入：</w:t>
      </w:r>
      <w:r w:rsidRPr="00BA3984">
        <w:rPr>
          <w:rFonts w:asciiTheme="minorEastAsia" w:eastAsiaTheme="minorEastAsia" w:hAnsiTheme="minorEastAsia" w:hint="eastAsia"/>
          <w:color w:val="000000"/>
          <w:sz w:val="32"/>
          <w:szCs w:val="32"/>
        </w:rPr>
        <w:t>指事业单位在专业业务活动及其辅助活动之外开展非独立核算经营活动取得的收入。</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4.其他收入：</w:t>
      </w:r>
      <w:r w:rsidRPr="00BA3984">
        <w:rPr>
          <w:rFonts w:asciiTheme="minorEastAsia" w:eastAsiaTheme="minorEastAsia" w:hAnsiTheme="minorEastAsia" w:hint="eastAsia"/>
          <w:color w:val="000000"/>
          <w:sz w:val="32"/>
          <w:szCs w:val="32"/>
        </w:rPr>
        <w:t>指单位取得的除“财政拨款收入”、“事业收入”、“经营收入”等以外的收入。</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lastRenderedPageBreak/>
        <w:t>5.基本支出：</w:t>
      </w:r>
      <w:r w:rsidRPr="00BA3984">
        <w:rPr>
          <w:rFonts w:asciiTheme="minorEastAsia" w:eastAsiaTheme="minorEastAsia" w:hAnsiTheme="minorEastAsia" w:hint="eastAsia"/>
          <w:color w:val="000000"/>
          <w:sz w:val="32"/>
          <w:szCs w:val="32"/>
        </w:rPr>
        <w:t>指为保障机构正常运转、完成日常工作任务而发生的人员支出和公用支出。</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6.项目支出：</w:t>
      </w:r>
      <w:r w:rsidRPr="00BA3984">
        <w:rPr>
          <w:rFonts w:asciiTheme="minorEastAsia" w:eastAsiaTheme="minorEastAsia" w:hAnsiTheme="minorEastAsia" w:hint="eastAsia"/>
          <w:color w:val="000000"/>
          <w:sz w:val="32"/>
          <w:szCs w:val="32"/>
        </w:rPr>
        <w:t>指在基本支出之外为完成特定行政任务和事业发展目标所发生的支出。</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7.“三公”经费：</w:t>
      </w:r>
      <w:r w:rsidRPr="00BA3984">
        <w:rPr>
          <w:rFonts w:asciiTheme="minorEastAsia" w:eastAsiaTheme="minorEastAsia" w:hAnsiTheme="minorEastAsia" w:hint="eastAsia"/>
          <w:color w:val="000000"/>
          <w:sz w:val="32"/>
          <w:szCs w:val="32"/>
        </w:rPr>
        <w:t>指用财政拨款安排的因公出国（境）费、公务用车购置及运行费和公务接待费。其中，因公出国（境）费反映单位公务出国（境）的住宿费、旅费、伙食补助费、杂费、培训费等支出；公务用车购置及运行费反映单位公务用车购置费以及按规定保留的公务用车燃料费、维修费、过路过桥费、保险费、安全奖励费用等支出；公务接待费反映单位按规定开支的各类公务接待（含外宾接待）支出。</w:t>
      </w:r>
      <w:r w:rsidRPr="00BA3984">
        <w:rPr>
          <w:rFonts w:asciiTheme="minorEastAsia" w:eastAsiaTheme="minorEastAsia" w:hAnsiTheme="minorEastAsia" w:hint="eastAsia"/>
          <w:b/>
          <w:bCs/>
          <w:color w:val="000000"/>
          <w:sz w:val="32"/>
          <w:szCs w:val="32"/>
        </w:rPr>
        <w:t>8. 一般公共服务支出（类）政府办公厅（室）及相关机构事务（款）事业运行（项）：</w:t>
      </w:r>
      <w:r w:rsidRPr="00BA3984">
        <w:rPr>
          <w:rFonts w:asciiTheme="minorEastAsia" w:eastAsiaTheme="minorEastAsia" w:hAnsiTheme="minorEastAsia" w:hint="eastAsia"/>
          <w:color w:val="000000"/>
          <w:sz w:val="32"/>
          <w:szCs w:val="32"/>
        </w:rPr>
        <w:t>反映事业单位基本支出，不包括行政单位（包括实行公务员管理的事业单位）后勤服务中心、医务室等附属事业单位。</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9.一般公共服务支出（类）财政事务（款）事业运行（项）：</w:t>
      </w:r>
      <w:r w:rsidRPr="00BA3984">
        <w:rPr>
          <w:rFonts w:asciiTheme="minorEastAsia" w:eastAsiaTheme="minorEastAsia" w:hAnsiTheme="minorEastAsia" w:hint="eastAsia"/>
          <w:color w:val="000000"/>
          <w:sz w:val="32"/>
          <w:szCs w:val="32"/>
        </w:rPr>
        <w:t>反映事业单位基本支出，不包括行政单位（包括实行公务员管理的事业单位）后勤服务中心、医务室等附属事业单位。</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10.社会保障和就业（类）行政事业单位离退休（款）事业单位离退休（项）：</w:t>
      </w:r>
      <w:r w:rsidRPr="00BA3984">
        <w:rPr>
          <w:rFonts w:asciiTheme="minorEastAsia" w:eastAsiaTheme="minorEastAsia" w:hAnsiTheme="minorEastAsia" w:hint="eastAsia"/>
          <w:color w:val="000000"/>
          <w:sz w:val="32"/>
          <w:szCs w:val="32"/>
        </w:rPr>
        <w:t>反映实行归口管理的事业单位开支的离退休经费。</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lastRenderedPageBreak/>
        <w:t>11.社会保障和就业（类）行政事业单位离退休（款）机关事业单位基本养老保险缴费支出（项）：</w:t>
      </w:r>
      <w:r w:rsidRPr="00BA3984">
        <w:rPr>
          <w:rFonts w:asciiTheme="minorEastAsia" w:eastAsiaTheme="minorEastAsia" w:hAnsiTheme="minorEastAsia" w:hint="eastAsia"/>
          <w:color w:val="000000"/>
          <w:sz w:val="32"/>
          <w:szCs w:val="32"/>
        </w:rPr>
        <w:t>反映机关事业单位实施养老保险制度由单位缴纳的基本养老保险缴费支出。</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12.医疗卫生与计划生育（类）医疗保障（款）事业单位医疗（项）：</w:t>
      </w:r>
      <w:r w:rsidRPr="00BA3984">
        <w:rPr>
          <w:rFonts w:asciiTheme="minorEastAsia" w:eastAsiaTheme="minorEastAsia" w:hAnsiTheme="minorEastAsia" w:hint="eastAsia"/>
          <w:color w:val="000000"/>
          <w:sz w:val="32"/>
          <w:szCs w:val="32"/>
        </w:rPr>
        <w:t>反映财政部门集中安排的事业单位基本医疗保险缴费经费，未参加医疗保险的事业单位的公费医疗经费，按国家规定享受离休人员待遇人员的医疗经费。</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13. 医疗卫生与计划生育（类）医疗保障（款）公务员医疗补助（项）：</w:t>
      </w:r>
      <w:r w:rsidRPr="00BA3984">
        <w:rPr>
          <w:rFonts w:asciiTheme="minorEastAsia" w:eastAsiaTheme="minorEastAsia" w:hAnsiTheme="minorEastAsia" w:hint="eastAsia"/>
          <w:color w:val="000000"/>
          <w:sz w:val="32"/>
          <w:szCs w:val="32"/>
        </w:rPr>
        <w:t>反映财政部门集中安排的公务员医疗补助经费。</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14.住房保障（类）住房改革（款）住房公积金（项）：</w:t>
      </w:r>
      <w:r w:rsidRPr="00BA3984">
        <w:rPr>
          <w:rFonts w:asciiTheme="minorEastAsia" w:eastAsiaTheme="minorEastAsia" w:hAnsiTheme="minorEastAsia" w:hint="eastAsia"/>
          <w:color w:val="000000"/>
          <w:sz w:val="32"/>
          <w:szCs w:val="32"/>
        </w:rPr>
        <w:t>反映行政事业单位按人力资源和社会保障部、财政部规定的基本工资和津贴补贴以及规定比例为职工缴纳的住房公积金。</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b/>
          <w:bCs/>
          <w:color w:val="000000"/>
          <w:sz w:val="32"/>
          <w:szCs w:val="32"/>
        </w:rPr>
        <w:t>15.住房保障（类）住房改革（款）提租补贴（项）：</w:t>
      </w:r>
    </w:p>
    <w:p w:rsidR="00BA3984" w:rsidRPr="00BA3984" w:rsidRDefault="00BA3984" w:rsidP="00BA3984">
      <w:pPr>
        <w:pStyle w:val="a3"/>
        <w:shd w:val="clear" w:color="auto" w:fill="F8F8F8"/>
        <w:spacing w:before="0" w:beforeAutospacing="0" w:after="0" w:afterAutospacing="0" w:line="658" w:lineRule="atLeast"/>
        <w:ind w:firstLine="480"/>
        <w:rPr>
          <w:rFonts w:asciiTheme="minorEastAsia" w:eastAsiaTheme="minorEastAsia" w:hAnsiTheme="minorEastAsia" w:hint="eastAsia"/>
          <w:color w:val="000000"/>
          <w:sz w:val="21"/>
          <w:szCs w:val="21"/>
        </w:rPr>
      </w:pPr>
      <w:r w:rsidRPr="00BA3984">
        <w:rPr>
          <w:rFonts w:asciiTheme="minorEastAsia" w:eastAsiaTheme="minorEastAsia" w:hAnsiTheme="minorEastAsia" w:hint="eastAsia"/>
          <w:color w:val="000000"/>
          <w:sz w:val="32"/>
          <w:szCs w:val="32"/>
        </w:rPr>
        <w:t>反映按房改政策规定的标准，行政事业单位向职工（含离退休人员）发放的租金补贴。</w:t>
      </w:r>
    </w:p>
    <w:p w:rsidR="000812D5" w:rsidRPr="00BA3984" w:rsidRDefault="000812D5">
      <w:pPr>
        <w:rPr>
          <w:rFonts w:asciiTheme="minorEastAsia" w:hAnsiTheme="minorEastAsia"/>
        </w:rPr>
      </w:pPr>
    </w:p>
    <w:sectPr w:rsidR="000812D5" w:rsidRPr="00BA3984" w:rsidSect="000812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62F6A"/>
    <w:multiLevelType w:val="multilevel"/>
    <w:tmpl w:val="A800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8B2107"/>
    <w:multiLevelType w:val="multilevel"/>
    <w:tmpl w:val="94BA3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3984"/>
    <w:rsid w:val="000812D5"/>
    <w:rsid w:val="00BA39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2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398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637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2022-11-30T05:53:00Z</dcterms:created>
  <dcterms:modified xsi:type="dcterms:W3CDTF">2022-11-30T05:55:00Z</dcterms:modified>
</cp:coreProperties>
</file>