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0C59">
      <w:pPr>
        <w:spacing w:line="1200" w:lineRule="exact"/>
        <w:jc w:val="distribute"/>
      </w:pPr>
      <w:r>
        <w:rPr>
          <w:rFonts w:hint="eastAsia"/>
        </w:rPr>
        <w:t xml:space="preserve"> </w:t>
      </w:r>
    </w:p>
    <w:p w14:paraId="74327DC8">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50105E7C">
      <w:pPr>
        <w:jc w:val="center"/>
        <w:rPr>
          <w:rFonts w:ascii="仿宋_GB2312" w:eastAsia="仿宋_GB2312"/>
          <w:sz w:val="15"/>
          <w:szCs w:val="15"/>
        </w:rPr>
      </w:pPr>
    </w:p>
    <w:p w14:paraId="1F05AC91">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37B9F145">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7369BF8D">
      <w:pPr>
        <w:tabs>
          <w:tab w:val="left" w:pos="8640"/>
        </w:tabs>
        <w:spacing w:line="576" w:lineRule="exact"/>
        <w:jc w:val="left"/>
        <w:rPr>
          <w:rFonts w:ascii="仿宋_GB2312" w:hAnsi="仿宋_GB2312" w:eastAsia="仿宋_GB2312" w:cs="仿宋_GB2312"/>
          <w:b/>
          <w:bCs/>
          <w:szCs w:val="32"/>
        </w:rPr>
      </w:pPr>
    </w:p>
    <w:p w14:paraId="3AE67C1C">
      <w:pPr>
        <w:tabs>
          <w:tab w:val="left" w:pos="8640"/>
        </w:tabs>
        <w:spacing w:line="576" w:lineRule="exact"/>
        <w:jc w:val="left"/>
        <w:rPr>
          <w:rFonts w:ascii="仿宋_GB2312" w:hAnsi="仿宋_GB2312" w:eastAsia="仿宋_GB2312" w:cs="仿宋_GB2312"/>
          <w:b/>
          <w:bCs/>
          <w:szCs w:val="32"/>
        </w:rPr>
      </w:pPr>
      <w:r>
        <w:rPr>
          <w:rFonts w:hint="eastAsia" w:ascii="仿宋_GB2312" w:hAnsi="仿宋_GB2312" w:eastAsia="仿宋_GB2312" w:cs="仿宋_GB2312"/>
          <w:b/>
          <w:bCs/>
          <w:szCs w:val="32"/>
        </w:rPr>
        <w:t>大连金玛硼业科技集团股份有限公司：</w:t>
      </w:r>
    </w:p>
    <w:p w14:paraId="373409A0">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法定代表人：吴国义</w:t>
      </w:r>
    </w:p>
    <w:p w14:paraId="62621597">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单位地址：辽宁省大连花园口经济区海棠街58号</w:t>
      </w:r>
    </w:p>
    <w:p w14:paraId="67E33338">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统一社会信用代码：91210200777267441W</w:t>
      </w:r>
    </w:p>
    <w:p w14:paraId="1230E4BB">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建设的大连金玛硼业科技集团特种陶瓷项目（一期）项目，国防军工、核用装备碳化硼制品产业化项目(6#厂房、9#实验楼)项目，总建筑面积为34,077.39㎡，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218,580元（218.58㎡*1,000元/㎡=218,580元）。</w:t>
      </w:r>
    </w:p>
    <w:p w14:paraId="78C3974C">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因你单位无法补建防空地下室，我办拟对你单位作出如下行政决定：对你单位征收人民防空地下室易地建设费218,580 元（大写：贰拾壹万捌仟伍佰捌拾元整）。</w:t>
      </w:r>
    </w:p>
    <w:p w14:paraId="029035C0">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716AB308">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庄河市国防动员办公室领取《防空地下室易地建设费征收告知书》，逾期即视为送达。</w:t>
      </w:r>
    </w:p>
    <w:p w14:paraId="25632129">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66FBF7FC">
      <w:pPr>
        <w:tabs>
          <w:tab w:val="left" w:pos="8640"/>
        </w:tabs>
        <w:spacing w:line="576" w:lineRule="exact"/>
        <w:ind w:firstLine="632" w:firstLineChars="200"/>
        <w:jc w:val="left"/>
        <w:rPr>
          <w:rFonts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6B65736F">
      <w:pPr>
        <w:tabs>
          <w:tab w:val="left" w:pos="8640"/>
        </w:tabs>
        <w:spacing w:line="576" w:lineRule="exact"/>
        <w:ind w:firstLine="632" w:firstLineChars="200"/>
        <w:jc w:val="left"/>
        <w:rPr>
          <w:rFonts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2E0A50F4">
      <w:pPr>
        <w:spacing w:line="576" w:lineRule="exact"/>
        <w:ind w:firstLine="632" w:firstLineChars="200"/>
        <w:rPr>
          <w:rFonts w:hint="eastAsia" w:ascii="方正仿宋_GB2312" w:hAnsi="方正仿宋_GB2312" w:eastAsia="方正仿宋_GB2312" w:cs="方正仿宋_GB2312"/>
          <w:szCs w:val="32"/>
        </w:rPr>
      </w:pPr>
    </w:p>
    <w:p w14:paraId="5CD05C35">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406E469A">
      <w:pPr>
        <w:spacing w:line="576" w:lineRule="exact"/>
        <w:ind w:firstLine="632" w:firstLineChars="200"/>
        <w:jc w:val="right"/>
        <w:rPr>
          <w:rFonts w:ascii="仿宋_GB2312" w:hAnsi="仿宋_GB2312" w:eastAsia="仿宋_GB2312" w:cs="仿宋_GB2312"/>
          <w:szCs w:val="32"/>
        </w:rPr>
      </w:pPr>
      <w:r>
        <w:rPr>
          <w:rFonts w:hint="eastAsia" w:ascii="仿宋_GB2312" w:hAnsi="仿宋_GB2312" w:eastAsia="仿宋_GB2312" w:cs="仿宋_GB2312"/>
          <w:szCs w:val="32"/>
        </w:rPr>
        <w:t>2025年10月13日</w:t>
      </w:r>
    </w:p>
    <w:p w14:paraId="61976A9E">
      <w:pPr>
        <w:tabs>
          <w:tab w:val="left" w:pos="8640"/>
        </w:tabs>
        <w:wordWrap w:val="0"/>
        <w:spacing w:line="576" w:lineRule="exact"/>
        <w:ind w:right="118"/>
        <w:jc w:val="right"/>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08E22617">
      <w:pPr>
        <w:ind w:firstLine="632" w:firstLineChars="200"/>
        <w:jc w:val="right"/>
        <w:rPr>
          <w:rFonts w:hint="eastAsia" w:hAnsi="仿宋" w:cs="仿宋"/>
          <w:szCs w:val="32"/>
        </w:rPr>
      </w:pPr>
    </w:p>
    <w:p w14:paraId="66DBE90A">
      <w:pPr>
        <w:rPr>
          <w:rFonts w:hint="eastAsia" w:hAnsi="仿宋" w:cs="仿宋"/>
          <w:szCs w:val="32"/>
        </w:rPr>
      </w:pPr>
    </w:p>
    <w:p w14:paraId="1D8816AD">
      <w:pPr>
        <w:rPr>
          <w:rFonts w:hint="eastAsia" w:hAnsi="仿宋" w:cs="仿宋"/>
          <w:szCs w:val="32"/>
        </w:rPr>
      </w:pPr>
    </w:p>
    <w:p w14:paraId="08DAAFDC">
      <w:pPr>
        <w:spacing w:line="560" w:lineRule="exact"/>
      </w:pPr>
    </w:p>
    <w:p w14:paraId="48994990">
      <w:pPr>
        <w:tabs>
          <w:tab w:val="left" w:pos="8640"/>
        </w:tabs>
        <w:spacing w:line="560" w:lineRule="exact"/>
        <w:ind w:right="-514"/>
        <w:rPr>
          <w:rFonts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2025年10月13日印发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9D0CAC6-9384-4E78-ABF2-5433828BF6FA}"/>
  </w:font>
  <w:font w:name="仿宋">
    <w:panose1 w:val="02010609060101010101"/>
    <w:charset w:val="86"/>
    <w:family w:val="modern"/>
    <w:pitch w:val="default"/>
    <w:sig w:usb0="800002BF" w:usb1="38CF7CFA" w:usb2="00000016" w:usb3="00000000" w:csb0="00040001" w:csb1="00000000"/>
    <w:embedRegular r:id="rId2" w:fontKey="{CFC2851F-8243-4E10-92F4-068379E64AA6}"/>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3" w:fontKey="{C655A787-1167-442A-BBF9-5699F26215D3}"/>
  </w:font>
  <w:font w:name="方正小标宋简体">
    <w:panose1 w:val="03000509000000000000"/>
    <w:charset w:val="86"/>
    <w:family w:val="auto"/>
    <w:pitch w:val="default"/>
    <w:sig w:usb0="00000001" w:usb1="080E0000" w:usb2="00000000" w:usb3="00000000" w:csb0="00040000" w:csb1="00000000"/>
    <w:embedRegular r:id="rId4" w:fontKey="{95851039-F3A6-4E6F-814E-6445D188B734}"/>
  </w:font>
  <w:font w:name="方正仿宋_GB2312">
    <w:altName w:val="微软雅黑"/>
    <w:panose1 w:val="00000000000000000000"/>
    <w:charset w:val="86"/>
    <w:family w:val="auto"/>
    <w:pitch w:val="default"/>
    <w:sig w:usb0="00000000" w:usb1="00000000" w:usb2="00000012" w:usb3="00000000" w:csb0="00040001" w:csb1="00000000"/>
    <w:embedRegular r:id="rId5" w:fontKey="{C0D1BF5E-75CC-4644-A0A1-866BD85CBE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6CA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C630E">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0C630E">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2758"/>
    <w:rsid w:val="000D6507"/>
    <w:rsid w:val="0013258D"/>
    <w:rsid w:val="001B54B3"/>
    <w:rsid w:val="001D75BF"/>
    <w:rsid w:val="001F2C05"/>
    <w:rsid w:val="002963C3"/>
    <w:rsid w:val="004957C3"/>
    <w:rsid w:val="00554FC3"/>
    <w:rsid w:val="00567FC7"/>
    <w:rsid w:val="005B0E42"/>
    <w:rsid w:val="005C29B5"/>
    <w:rsid w:val="005F3484"/>
    <w:rsid w:val="00681B86"/>
    <w:rsid w:val="006C66BD"/>
    <w:rsid w:val="00732608"/>
    <w:rsid w:val="008C75E3"/>
    <w:rsid w:val="008F021F"/>
    <w:rsid w:val="00A56842"/>
    <w:rsid w:val="00AB474C"/>
    <w:rsid w:val="00B23969"/>
    <w:rsid w:val="00BA6D0F"/>
    <w:rsid w:val="00C21C08"/>
    <w:rsid w:val="00D505EE"/>
    <w:rsid w:val="00DA058E"/>
    <w:rsid w:val="00E13323"/>
    <w:rsid w:val="00E50B8C"/>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9BD306A"/>
    <w:rsid w:val="0C4F653E"/>
    <w:rsid w:val="0D444A8F"/>
    <w:rsid w:val="0D490A24"/>
    <w:rsid w:val="0D62286A"/>
    <w:rsid w:val="0D847589"/>
    <w:rsid w:val="0E8D57A4"/>
    <w:rsid w:val="110C5E20"/>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087096D"/>
    <w:rsid w:val="20F1189D"/>
    <w:rsid w:val="21D426FC"/>
    <w:rsid w:val="22132F83"/>
    <w:rsid w:val="221957F6"/>
    <w:rsid w:val="22A068A5"/>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9D67A0B"/>
    <w:rsid w:val="39E34C87"/>
    <w:rsid w:val="3ABF1354"/>
    <w:rsid w:val="3ADE61A4"/>
    <w:rsid w:val="3BA870F1"/>
    <w:rsid w:val="3BD36AEA"/>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8CA0FB8"/>
    <w:rsid w:val="59810AE7"/>
    <w:rsid w:val="5A5C5ECC"/>
    <w:rsid w:val="5B716236"/>
    <w:rsid w:val="5C4A56F7"/>
    <w:rsid w:val="5CD84061"/>
    <w:rsid w:val="5E5F7360"/>
    <w:rsid w:val="60B52B00"/>
    <w:rsid w:val="612F31A5"/>
    <w:rsid w:val="61356E89"/>
    <w:rsid w:val="61DE7AE8"/>
    <w:rsid w:val="62374FCB"/>
    <w:rsid w:val="62747182"/>
    <w:rsid w:val="62D13935"/>
    <w:rsid w:val="62EA3745"/>
    <w:rsid w:val="637606BD"/>
    <w:rsid w:val="64394B9A"/>
    <w:rsid w:val="65141E57"/>
    <w:rsid w:val="65192AB4"/>
    <w:rsid w:val="65311577"/>
    <w:rsid w:val="65574BF3"/>
    <w:rsid w:val="659A35CD"/>
    <w:rsid w:val="65B63282"/>
    <w:rsid w:val="66EC45BC"/>
    <w:rsid w:val="67083AC7"/>
    <w:rsid w:val="67D0563A"/>
    <w:rsid w:val="68E27A9F"/>
    <w:rsid w:val="691D5B2D"/>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DD00F61"/>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636</Words>
  <Characters>747</Characters>
  <Lines>6</Lines>
  <Paragraphs>1</Paragraphs>
  <TotalTime>0</TotalTime>
  <ScaleCrop>false</ScaleCrop>
  <LinksUpToDate>false</LinksUpToDate>
  <CharactersWithSpaces>833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D0EF42981DE94FE7BE6DE099572E12C5_13</vt:lpwstr>
  </property>
  <property fmtid="{D5CDD505-2E9C-101B-9397-08002B2CF9AE}" pid="4" name="KSOTemplateDocerSaveRecord">
    <vt:lpwstr>eyJoZGlkIjoiMjFiMmZjYTIwN2M5M2JmMjRhNzU5M2Y1NmI4NDViNjUiLCJ1c2VySWQiOiIxMDI2MzMwMjM0In0=</vt:lpwstr>
  </property>
</Properties>
</file>