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9A29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6" w:lineRule="exact"/>
        <w:ind w:left="640" w:hanging="640" w:hangingChars="200"/>
        <w:textAlignment w:val="auto"/>
        <w:rPr>
          <w:rFonts w:ascii="仿宋_GB2312" w:eastAsia="仿宋_GB2312" w:cs="Times New Roman"/>
          <w:color w:val="auto"/>
          <w:sz w:val="32"/>
          <w:szCs w:val="32"/>
        </w:rPr>
      </w:pPr>
      <w:bookmarkStart w:id="0" w:name="_GoBack"/>
      <w:bookmarkEnd w:id="0"/>
    </w:p>
    <w:p w14:paraId="1DA490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6" w:lineRule="exact"/>
        <w:ind w:left="640" w:hanging="880" w:hanging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仙人洞镇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关于</w:t>
      </w:r>
    </w:p>
    <w:p w14:paraId="557628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6" w:lineRule="exact"/>
        <w:ind w:left="640" w:hanging="880" w:hanging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2024年法治政府建设情况的报告</w:t>
      </w:r>
    </w:p>
    <w:p w14:paraId="0659C7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left="640" w:hanging="880" w:hangingChars="200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</w:p>
    <w:p w14:paraId="75488E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640" w:hanging="640" w:hangingChars="200"/>
        <w:textAlignment w:val="auto"/>
        <w:rPr>
          <w:rFonts w:hint="eastAsia" w:ascii="Times New Roman" w:hAnsi="仿宋" w:eastAsia="仿宋_GB2312" w:cs="Times New Roman"/>
          <w:color w:val="auto"/>
          <w:sz w:val="32"/>
          <w:szCs w:val="32"/>
        </w:rPr>
      </w:pPr>
      <w:r>
        <w:rPr>
          <w:rFonts w:hint="eastAsia" w:ascii="Times New Roman" w:hAnsi="仿宋" w:eastAsia="仿宋_GB2312" w:cs="Times New Roman"/>
          <w:color w:val="auto"/>
          <w:sz w:val="32"/>
          <w:szCs w:val="32"/>
        </w:rPr>
        <w:t>中共庄河市委、庄河市人民政府：</w:t>
      </w:r>
    </w:p>
    <w:p w14:paraId="00049D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/>
          <w:color w:val="auto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仙人洞镇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以习近平新时代中国特色社会主义思想为指导，严格落实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《庄河市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2024年推进法治政府建设十项重点任务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庄河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市贯彻落实〈法治政府建设实施纲要（2021—2025年）〉重要任务举措分工方案》文件精神，深入推进法治政府建设。现将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仙人洞镇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年法治政府建设情况报告如下：</w:t>
      </w:r>
    </w:p>
    <w:p w14:paraId="1DD751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一、2024 年推进法治政府建设的主要措施和成效</w:t>
      </w:r>
    </w:p>
    <w:p w14:paraId="463A9E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eastAsia="zh-CN"/>
        </w:rPr>
        <w:t>（一）</w:t>
      </w: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</w:rPr>
        <w:t>强化制度建设</w:t>
      </w: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eastAsia="zh-CN"/>
        </w:rPr>
        <w:t>，构建长效机制</w:t>
      </w:r>
    </w:p>
    <w:p w14:paraId="1EE32C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建立法律顾问制度，发挥法律顾问参谋助手作用，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镇政府重大行政决策征求法律顾问意见，助推法治政府建设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 w14:paraId="606505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健全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规范性文件管理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制度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，严格按照规范性文件制定流程，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规范性文件制定之前开展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公众意见征求、合法性审核等工作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</w:p>
    <w:p w14:paraId="65B782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建立健全突发事件应对体系，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建立“仙人洞镇地震应急预案”，“仙人洞镇重大动物疫情应急预案”等突发事件应对制度机制，增强风险管控能力。</w:t>
      </w:r>
    </w:p>
    <w:p w14:paraId="10C261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全面推行行政执法 “三项制度”，配备执法记录仪，实现执法全过程记录；及时公示执法信息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保障公众知情权；重大执法决定法制审核率达到 100%，确保执法公正。</w:t>
      </w:r>
    </w:p>
    <w:p w14:paraId="604796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eastAsia="zh-CN"/>
        </w:rPr>
        <w:t>（二）</w:t>
      </w: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</w:rPr>
        <w:t>提升行政执法水平</w:t>
      </w: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eastAsia="zh-CN"/>
        </w:rPr>
        <w:t>，建设专业高效行政执法队伍</w:t>
      </w:r>
    </w:p>
    <w:p w14:paraId="26B1A2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切实加强行政执法队伍建设，组织执法人员参加“法院旁听庭审活动”，镇政府行政执法人员参与线上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行政执法人员培训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次，涵盖新法律法规解读、执法程序等内容，培训人员达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人次，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通过考试新增行政执法人员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3人次，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执法人员业务能力明显增强。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邀请律师、法官到镇政府给行政执法人员现场授课，讲述行政法相关内容。镇政府通过一系列举措，力争打造一支懂法、知法，善于执法的行政执法队伍。</w:t>
      </w:r>
    </w:p>
    <w:p w14:paraId="4558A3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eastAsia="zh-CN"/>
        </w:rPr>
        <w:t>（三）</w:t>
      </w: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</w:rPr>
        <w:t>加大法治宣传力度</w:t>
      </w: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eastAsia="zh-CN"/>
        </w:rPr>
        <w:t>，强化群众法治理念</w:t>
      </w:r>
    </w:p>
    <w:p w14:paraId="5D1A97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开展 “法律进乡村” 活动，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定期在村、集市等人员密集场所开展普法宣传，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发放宣传资料，向群众普及与生产生活密切相关的法律法规，累计发放资料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2000余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份。</w:t>
      </w:r>
    </w:p>
    <w:p w14:paraId="6E8153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利用新媒体平台发布法治宣传信息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条，阅读量累计达到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两千余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次，拓宽了法治宣传覆盖面。</w:t>
      </w:r>
    </w:p>
    <w:p w14:paraId="7AAC703C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eastAsia="仿宋_GB2312"/>
          <w:b w:val="0"/>
          <w:bCs/>
          <w:color w:val="auto"/>
          <w:sz w:val="32"/>
          <w:szCs w:val="32"/>
          <w:lang w:eastAsia="zh-CN"/>
        </w:rPr>
      </w:pPr>
      <w:r>
        <w:rPr>
          <w:rFonts w:hint="eastAsia" w:eastAsia="仿宋_GB2312"/>
          <w:b w:val="0"/>
          <w:bCs/>
          <w:color w:val="auto"/>
          <w:sz w:val="32"/>
          <w:szCs w:val="32"/>
          <w:lang w:eastAsia="zh-CN"/>
        </w:rPr>
        <w:t>开展“法律明白人”进</w:t>
      </w:r>
      <w:r>
        <w:rPr>
          <w:rFonts w:hint="eastAsia" w:eastAsia="仿宋_GB2312"/>
          <w:b w:val="0"/>
          <w:bCs/>
          <w:color w:val="auto"/>
          <w:sz w:val="32"/>
          <w:szCs w:val="32"/>
          <w:lang w:eastAsia="zh-CN"/>
        </w:rPr>
        <w:t>入</w:t>
      </w:r>
      <w:r>
        <w:rPr>
          <w:rFonts w:hint="eastAsia" w:eastAsia="仿宋_GB2312"/>
          <w:b w:val="0"/>
          <w:bCs/>
          <w:color w:val="auto"/>
          <w:sz w:val="32"/>
          <w:szCs w:val="32"/>
          <w:lang w:eastAsia="zh-CN"/>
        </w:rPr>
        <w:t>村屯活动，定期对全镇法律明白人开展培训，提升“法律明白人”法治素养，督促各村法律明白人深入村屯开展普法活动，向群众讲述“电诈”《民法典》等内容，将法治理念向基层群众延伸。</w:t>
      </w:r>
    </w:p>
    <w:p w14:paraId="262C15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二、2024 年推进法治政府建设存在的不足和原因</w:t>
      </w:r>
    </w:p>
    <w:p w14:paraId="767709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eastAsia="zh-CN"/>
        </w:rPr>
        <w:t>（一）</w:t>
      </w: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</w:rPr>
        <w:t>存在的不足</w:t>
      </w:r>
    </w:p>
    <w:p w14:paraId="67D022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部分干部职工法治思维转变不够彻底，在处理复杂问题时，仍存在凭经验办事的情况，依法行政意识有待进一步强化。</w:t>
      </w:r>
    </w:p>
    <w:p w14:paraId="0955B5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法治专业人才相对匮乏，在应对专业性较强的法律事务时，存在人才短板，一定程度上影响工作效率和质量。</w:t>
      </w:r>
    </w:p>
    <w:p w14:paraId="4542FA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法治宣传创新不足，宣传形式和内容仍较为传统，对年轻群体吸引力有限，未能充分满足群众多元化的法治文化需求。</w:t>
      </w:r>
    </w:p>
    <w:p w14:paraId="197B41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eastAsia="zh-CN"/>
        </w:rPr>
        <w:t>（二）</w:t>
      </w: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</w:rPr>
        <w:t>原因分析</w:t>
      </w:r>
    </w:p>
    <w:p w14:paraId="61EA30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法治教育的深度和持续性不够，虽然开展了各类培训，但培训效果巩固不牢，未能使法治理念完全扎根于干部职工内心。</w:t>
      </w:r>
    </w:p>
    <w:p w14:paraId="49673B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人才引进和培养机制不够完善，在吸引和留住高素质法治人才方面缺乏有力举措，导致专业人才储备不足。</w:t>
      </w:r>
    </w:p>
    <w:p w14:paraId="3A2C28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对新兴媒体传播规律把握不够精准，在法治宣传策划上缺乏创意，未能充分整合资源，打造具有影响力的法治文化品牌。</w:t>
      </w:r>
    </w:p>
    <w:p w14:paraId="06B7C0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三、2024 年党政主要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责任人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履行推进法治建设第一责任人职责，加强法治政府建设的有关情况</w:t>
      </w:r>
    </w:p>
    <w:p w14:paraId="041479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eastAsia="zh-CN"/>
        </w:rPr>
        <w:t>（一）</w:t>
      </w: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</w:rPr>
        <w:t>带头学法用法</w:t>
      </w: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eastAsia="zh-CN"/>
        </w:rPr>
        <w:t>，将法治贯彻工作始终</w:t>
      </w:r>
    </w:p>
    <w:p w14:paraId="562009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镇理论中心组多次学习习近平法治思想相关内容，党委班子成员多次开展法治学习，学习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</w:rPr>
        <w:t>《中华人民共和国宪法》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、《民法典》等法律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发挥党委在法治建设工作中核心领导作用，将法治工作纳入本地区、本单位总体规划之中，每半年听取一次法治政府建设情况报告，及时解决法治政府建设过程中重大问题。充分发挥法律顾问、公职律师作用，在重大行政决定之前，开展合法合规审查。</w:t>
      </w:r>
    </w:p>
    <w:p w14:paraId="431778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eastAsia="zh-CN"/>
        </w:rPr>
        <w:t>（二）</w:t>
      </w: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</w:rPr>
        <w:t>严格监督考核</w:t>
      </w: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eastAsia="zh-CN"/>
        </w:rPr>
        <w:t>，强化问责问效</w:t>
      </w:r>
    </w:p>
    <w:p w14:paraId="4050A5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将法治建设纳入各部门年度绩效考核指标体系，明确考核标准，加大考核权重，定期对各部门法治建设工作进行督导检查，对工作不力的部门进行通报批评，确保法治建设各项任务落到实处。</w:t>
      </w:r>
    </w:p>
    <w:p w14:paraId="32672B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四、2024 年推进法治政府建设的主要安排</w:t>
      </w:r>
    </w:p>
    <w:p w14:paraId="3EAD14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eastAsia="zh-CN"/>
        </w:rPr>
        <w:t>（一）</w:t>
      </w: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</w:rPr>
        <w:t>深化法治思维培育</w:t>
      </w: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eastAsia="zh-CN"/>
        </w:rPr>
        <w:t>，强化法治思维运用</w:t>
      </w:r>
    </w:p>
    <w:p w14:paraId="0973FE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制定详细的法治培训计划，增加培训频次，丰富培训内容，邀请专家学者授课，提升干部职工运用法治思维和法治方式解决问题的能力。</w:t>
      </w:r>
    </w:p>
    <w:p w14:paraId="36EA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开展法治文化建设活动，营造浓厚法治氛围，如举办法治征文比赛、法治知识竞赛等，让干部职工在活动中深化法治理念。</w:t>
      </w:r>
    </w:p>
    <w:p w14:paraId="39AE0C4A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eastAsia" w:eastAsia="仿宋_GB2312"/>
          <w:b w:val="0"/>
          <w:bCs/>
          <w:color w:val="auto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  <w:t>通过一系列的法治思维培育活动来提升领导干部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  <w:t>运用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  <w:t>法治思维能力，将法治思想贯彻到日常工作各个角落，切实提升政府依法行政能力。</w:t>
      </w:r>
    </w:p>
    <w:p w14:paraId="71A1085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eastAsia="zh-CN"/>
        </w:rPr>
        <w:t>（二）夯实人才培养之基，建设专业法治人才队伍</w:t>
      </w:r>
    </w:p>
    <w:p w14:paraId="5A88D28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拓宽人才引进渠道，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在公务员招录工作计划中设置拥有法学背景的岗位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，争取引进专业法律人才，充实法治工作力量。</w:t>
      </w:r>
    </w:p>
    <w:p w14:paraId="6A34B4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建立内部人才培养机制，选拔有潜力的干部进行定向培养，通过跟班学习、参与项目等方式，提升其法律专业素养。</w:t>
      </w:r>
    </w:p>
    <w:p w14:paraId="16264B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eastAsia="zh-CN"/>
        </w:rPr>
        <w:t>（三）</w:t>
      </w: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</w:rPr>
        <w:t>创新法治宣传方式</w:t>
      </w: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eastAsia="zh-CN"/>
        </w:rPr>
        <w:t>，营造良好法治环境</w:t>
      </w:r>
    </w:p>
    <w:p w14:paraId="388E45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color w:val="auto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融合新媒体与传统媒体优势，打造 “线上 + 线下” 立体式宣传格局。线上，利用短视频平台制作法治微视频，以群众喜闻乐见的形式传播法律知识；线下，结合乡村振兴治理等工作，开展精准化、个性化法治宣传活动。</w:t>
      </w:r>
    </w:p>
    <w:p w14:paraId="5D5F9C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640" w:firstLine="640" w:firstLineChars="20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 w14:paraId="181712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640" w:firstLine="640" w:firstLineChars="20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 w14:paraId="392646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640" w:firstLine="640" w:firstLineChars="20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 w14:paraId="489290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640" w:firstLine="640" w:firstLineChars="20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 w14:paraId="2F19D9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640" w:firstLine="640" w:firstLineChars="20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仙人洞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人民政府</w:t>
      </w:r>
    </w:p>
    <w:p w14:paraId="14C55E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640" w:firstLine="640" w:firstLineChars="200"/>
        <w:jc w:val="right"/>
        <w:textAlignment w:val="auto"/>
        <w:rPr>
          <w:rFonts w:hint="default" w:eastAsiaTheme="minorEastAsia"/>
          <w:color w:val="auto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2025年1月24日</w:t>
      </w:r>
    </w:p>
    <w:sectPr>
      <w:footerReference r:id="rId3" w:type="default"/>
      <w:pgSz w:w="11906" w:h="16838"/>
      <w:pgMar w:top="2098" w:right="1474" w:bottom="1984" w:left="1587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3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A65A58">
    <w:pPr>
      <w:pStyle w:val="11"/>
      <w:bidi w:val="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2D6988C">
                          <w:pPr>
                            <w:pStyle w:val="1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2D6988C">
                    <w:pPr>
                      <w:pStyle w:val="1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</w:compat>
  <w:rsids>
    <w:rsidRoot w:val="00000000"/>
    <w:rsid w:val="02A26FF3"/>
    <w:rsid w:val="07713980"/>
    <w:rsid w:val="077F69EC"/>
    <w:rsid w:val="07CD6C29"/>
    <w:rsid w:val="09265ED9"/>
    <w:rsid w:val="0C871B49"/>
    <w:rsid w:val="1D3B374E"/>
    <w:rsid w:val="28F51D65"/>
    <w:rsid w:val="296B26A0"/>
    <w:rsid w:val="32904430"/>
    <w:rsid w:val="3AC23405"/>
    <w:rsid w:val="3B915BA1"/>
    <w:rsid w:val="3CA628B2"/>
    <w:rsid w:val="401F1EB1"/>
    <w:rsid w:val="49452A7C"/>
    <w:rsid w:val="4A6E4999"/>
    <w:rsid w:val="574F5BC8"/>
    <w:rsid w:val="5B7A3EE6"/>
    <w:rsid w:val="5BCF1D4A"/>
    <w:rsid w:val="633A386E"/>
    <w:rsid w:val="6FC44861"/>
    <w:rsid w:val="74F0184A"/>
    <w:rsid w:val="7D0123C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qFormat="1" w:uiPriority="99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paragraph" w:styleId="3">
    <w:name w:val="heading 1"/>
    <w:next w:val="1"/>
    <w:qFormat/>
    <w:uiPriority w:val="0"/>
    <w:pPr>
      <w:spacing w:before="380" w:after="140" w:line="288" w:lineRule="auto"/>
      <w:ind w:left="0"/>
      <w:jc w:val="left"/>
      <w:outlineLvl w:val="0"/>
    </w:pPr>
    <w:rPr>
      <w:rFonts w:ascii="Arial" w:hAnsi="Arial" w:eastAsia="等线" w:cs="Arial"/>
      <w:b/>
      <w:bCs/>
      <w:sz w:val="36"/>
      <w:szCs w:val="36"/>
    </w:rPr>
  </w:style>
  <w:style w:type="paragraph" w:styleId="4">
    <w:name w:val="heading 2"/>
    <w:next w:val="1"/>
    <w:qFormat/>
    <w:uiPriority w:val="0"/>
    <w:pPr>
      <w:spacing w:before="320" w:after="120" w:line="288" w:lineRule="auto"/>
      <w:ind w:left="0"/>
      <w:jc w:val="left"/>
      <w:outlineLvl w:val="1"/>
    </w:pPr>
    <w:rPr>
      <w:rFonts w:ascii="Arial" w:hAnsi="Arial" w:eastAsia="等线" w:cs="Arial"/>
      <w:b/>
      <w:bCs/>
      <w:sz w:val="32"/>
      <w:szCs w:val="32"/>
    </w:rPr>
  </w:style>
  <w:style w:type="paragraph" w:styleId="5">
    <w:name w:val="heading 3"/>
    <w:next w:val="1"/>
    <w:qFormat/>
    <w:uiPriority w:val="0"/>
    <w:pPr>
      <w:spacing w:before="300" w:after="120" w:line="288" w:lineRule="auto"/>
      <w:ind w:left="0"/>
      <w:jc w:val="left"/>
      <w:outlineLvl w:val="2"/>
    </w:pPr>
    <w:rPr>
      <w:rFonts w:ascii="Arial" w:hAnsi="Arial" w:eastAsia="等线" w:cs="Arial"/>
      <w:b/>
      <w:bCs/>
      <w:sz w:val="30"/>
      <w:szCs w:val="30"/>
    </w:rPr>
  </w:style>
  <w:style w:type="paragraph" w:styleId="6">
    <w:name w:val="heading 4"/>
    <w:next w:val="1"/>
    <w:qFormat/>
    <w:uiPriority w:val="0"/>
    <w:pPr>
      <w:spacing w:before="260" w:after="120" w:line="288" w:lineRule="auto"/>
      <w:ind w:left="0"/>
      <w:jc w:val="left"/>
      <w:outlineLvl w:val="3"/>
    </w:pPr>
    <w:rPr>
      <w:rFonts w:ascii="Arial" w:hAnsi="Arial" w:eastAsia="等线" w:cs="Arial"/>
      <w:b/>
      <w:bCs/>
      <w:sz w:val="28"/>
      <w:szCs w:val="28"/>
    </w:rPr>
  </w:style>
  <w:style w:type="paragraph" w:styleId="7">
    <w:name w:val="heading 5"/>
    <w:next w:val="1"/>
    <w:qFormat/>
    <w:uiPriority w:val="0"/>
    <w:pPr>
      <w:spacing w:before="240" w:after="120" w:line="288" w:lineRule="auto"/>
      <w:ind w:left="0"/>
      <w:jc w:val="left"/>
      <w:outlineLvl w:val="4"/>
    </w:pPr>
    <w:rPr>
      <w:rFonts w:ascii="Arial" w:hAnsi="Arial" w:eastAsia="等线" w:cs="Arial"/>
      <w:b/>
      <w:bCs/>
      <w:sz w:val="24"/>
      <w:szCs w:val="24"/>
    </w:rPr>
  </w:style>
  <w:style w:type="paragraph" w:styleId="8">
    <w:name w:val="heading 6"/>
    <w:next w:val="1"/>
    <w:qFormat/>
    <w:uiPriority w:val="0"/>
    <w:pPr>
      <w:spacing w:before="240" w:after="120" w:line="288" w:lineRule="auto"/>
      <w:ind w:left="0"/>
      <w:jc w:val="left"/>
      <w:outlineLvl w:val="5"/>
    </w:pPr>
    <w:rPr>
      <w:rFonts w:ascii="Arial" w:hAnsi="Arial" w:eastAsia="等线" w:cs="Arial"/>
      <w:b/>
      <w:bCs/>
      <w:sz w:val="24"/>
      <w:szCs w:val="24"/>
    </w:rPr>
  </w:style>
  <w:style w:type="character" w:default="1" w:styleId="15">
    <w:name w:val="Default Paragraph Font"/>
    <w:semiHidden/>
    <w:qFormat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99"/>
    <w:pPr>
      <w:ind w:firstLine="420" w:firstLineChars="200"/>
    </w:pPr>
    <w:rPr>
      <w:rFonts w:ascii="Times New Roman" w:hAnsi="Times New Roman" w:eastAsia="宋体" w:cs="Times New Roman"/>
    </w:rPr>
  </w:style>
  <w:style w:type="paragraph" w:styleId="9">
    <w:name w:val="toc 3"/>
    <w:basedOn w:val="1"/>
    <w:next w:val="1"/>
    <w:qFormat/>
    <w:uiPriority w:val="0"/>
    <w:pPr>
      <w:ind w:left="420"/>
    </w:pPr>
    <w:rPr>
      <w:rFonts w:ascii="等线" w:hAnsi="等线" w:eastAsia="等线"/>
      <w:b/>
      <w:sz w:val="30"/>
      <w:szCs w:val="30"/>
    </w:rPr>
  </w:style>
  <w:style w:type="paragraph" w:styleId="10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1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2">
    <w:name w:val="footnote text"/>
    <w:link w:val="19"/>
    <w:semiHidden/>
    <w:unhideWhenUsed/>
    <w:qFormat/>
    <w:uiPriority w:val="99"/>
    <w:pPr>
      <w:spacing w:after="0" w:line="240" w:lineRule="auto"/>
    </w:pPr>
    <w:rPr>
      <w:rFonts w:asciiTheme="minorHAnsi" w:hAnsiTheme="minorHAnsi" w:eastAsiaTheme="minorEastAsia" w:cstheme="minorBidi"/>
      <w:sz w:val="20"/>
      <w:szCs w:val="20"/>
    </w:rPr>
  </w:style>
  <w:style w:type="paragraph" w:styleId="13">
    <w:name w:val="Title"/>
    <w:qFormat/>
    <w:uiPriority w:val="0"/>
    <w:pPr>
      <w:spacing w:before="480" w:after="480" w:line="288" w:lineRule="auto"/>
      <w:ind w:left="0"/>
    </w:pPr>
    <w:rPr>
      <w:rFonts w:ascii="Arial" w:hAnsi="Arial" w:eastAsia="等线" w:cs="Arial"/>
      <w:b/>
      <w:bCs/>
      <w:sz w:val="52"/>
      <w:szCs w:val="52"/>
    </w:rPr>
  </w:style>
  <w:style w:type="character" w:styleId="16">
    <w:name w:val="Hyperlink"/>
    <w:unhideWhenUsed/>
    <w:qFormat/>
    <w:uiPriority w:val="99"/>
    <w:rPr>
      <w:color w:val="0563C1"/>
      <w:u w:val="single"/>
    </w:rPr>
  </w:style>
  <w:style w:type="character" w:styleId="17">
    <w:name w:val="footnote reference"/>
    <w:semiHidden/>
    <w:unhideWhenUsed/>
    <w:qFormat/>
    <w:uiPriority w:val="99"/>
    <w:rPr>
      <w:vertAlign w:val="superscript"/>
    </w:rPr>
  </w:style>
  <w:style w:type="paragraph" w:styleId="18">
    <w:name w:val="List Paragraph"/>
    <w:qFormat/>
    <w:uiPriority w:val="0"/>
    <w:rPr>
      <w:rFonts w:asciiTheme="minorHAnsi" w:hAnsiTheme="minorHAnsi" w:eastAsiaTheme="minorEastAsia" w:cstheme="minorBidi"/>
      <w:sz w:val="21"/>
      <w:szCs w:val="22"/>
    </w:rPr>
  </w:style>
  <w:style w:type="character" w:customStyle="1" w:styleId="19">
    <w:name w:val="Footnote Text Char"/>
    <w:link w:val="12"/>
    <w:semiHidden/>
    <w:unhideWhenUsed/>
    <w:qFormat/>
    <w:uiPriority w:val="99"/>
    <w:rPr>
      <w:sz w:val="20"/>
      <w:szCs w:val="20"/>
    </w:rPr>
  </w:style>
  <w:style w:type="paragraph" w:customStyle="1" w:styleId="20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  <w:style w:type="paragraph" w:customStyle="1" w:styleId="21">
    <w:name w:val="_Style 14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color w:val="8F959E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2019</Words>
  <Characters>2060</Characters>
  <TotalTime>28</TotalTime>
  <ScaleCrop>false</ScaleCrop>
  <LinksUpToDate>false</LinksUpToDate>
  <CharactersWithSpaces>2073</CharactersWithSpaces>
  <Application>WPS Office_12.1.0.20305_F1E327BC-269C-435d-A152-05C5408002CA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2025-01-08T07:48:00Z</dcterms:created>
  <dc:creator>Un-named</dc:creator>
  <cp:lastModifiedBy>奔跑的蜗牛秋</cp:lastModifiedBy>
  <cp:lastPrinted>2025-01-10T02:18:00Z</cp:lastPrinted>
  <dcterms:modified xsi:type="dcterms:W3CDTF">2025-03-26T01:33:44Z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eyJoZGlkIjoiMTMxMzg5Y2EwNWJmZjEyMjA2YTIxN2M4OTU1MmQxYTUiLCJ1c2VySWQiOiI3MzE0MTc2MTIifQ==</vt:lpwstr>
  </property>
  <property fmtid="{D5CDD505-2E9C-101B-9397-08002B2CF9AE}" pid="3" name="KSOProductBuildVer">
    <vt:lpwstr>2052-12.1.0.20305</vt:lpwstr>
  </property>
  <property fmtid="{D5CDD505-2E9C-101B-9397-08002B2CF9AE}" pid="4" name="ICV">
    <vt:lpwstr>64769B124C3F48DB94EEFCE7D23F4B4F_12</vt:lpwstr>
  </property>
</Properties>
</file>