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tiff" ContentType="image/tif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C0A4F2">
      <w:pPr>
        <w:pStyle w:val="26"/>
        <w:ind w:left="560" w:firstLine="1044"/>
        <w:jc w:val="center"/>
        <w:rPr>
          <w:b/>
          <w:bCs/>
          <w:sz w:val="52"/>
          <w:szCs w:val="52"/>
        </w:rPr>
      </w:pPr>
      <w:bookmarkStart w:id="0" w:name="_Toc32632"/>
      <w:bookmarkStart w:id="1" w:name="_Toc435435186"/>
      <w:bookmarkStart w:id="2" w:name="_Toc434229618"/>
      <w:bookmarkStart w:id="3" w:name="_Toc434336354"/>
      <w:bookmarkStart w:id="4" w:name="_Toc14921"/>
      <w:bookmarkStart w:id="5" w:name="_Toc434229658"/>
      <w:bookmarkStart w:id="6" w:name="_Toc435435207"/>
      <w:bookmarkStart w:id="7" w:name="_Toc56878419"/>
    </w:p>
    <w:p w14:paraId="0ED64A33">
      <w:pPr>
        <w:pStyle w:val="26"/>
        <w:ind w:left="560" w:firstLine="1044"/>
        <w:jc w:val="center"/>
        <w:rPr>
          <w:b/>
          <w:bCs/>
          <w:sz w:val="52"/>
          <w:szCs w:val="52"/>
        </w:rPr>
      </w:pPr>
    </w:p>
    <w:p w14:paraId="734D2B5A">
      <w:pPr>
        <w:pStyle w:val="26"/>
        <w:ind w:left="560" w:firstLine="0"/>
        <w:jc w:val="center"/>
        <w:rPr>
          <w:b/>
          <w:bCs/>
          <w:sz w:val="52"/>
          <w:szCs w:val="52"/>
        </w:rPr>
      </w:pPr>
      <w:r>
        <w:rPr>
          <w:b/>
          <w:bCs/>
          <w:sz w:val="52"/>
          <w:szCs w:val="52"/>
        </w:rPr>
        <w:t>庄河市“十四五”综合交通发展规划</w:t>
      </w:r>
      <w:bookmarkEnd w:id="0"/>
      <w:bookmarkEnd w:id="1"/>
      <w:bookmarkEnd w:id="2"/>
      <w:bookmarkEnd w:id="3"/>
      <w:bookmarkEnd w:id="4"/>
      <w:bookmarkEnd w:id="5"/>
    </w:p>
    <w:p w14:paraId="7285092A">
      <w:pPr>
        <w:pStyle w:val="26"/>
        <w:ind w:left="560" w:firstLine="1044"/>
        <w:jc w:val="center"/>
        <w:rPr>
          <w:b/>
          <w:bCs/>
          <w:sz w:val="52"/>
          <w:szCs w:val="52"/>
        </w:rPr>
      </w:pPr>
    </w:p>
    <w:p w14:paraId="46525E23">
      <w:pPr>
        <w:pStyle w:val="26"/>
        <w:ind w:left="560" w:firstLine="1044"/>
        <w:jc w:val="center"/>
        <w:rPr>
          <w:b/>
          <w:bCs/>
          <w:sz w:val="52"/>
          <w:szCs w:val="52"/>
        </w:rPr>
      </w:pPr>
    </w:p>
    <w:p w14:paraId="23C9B9BE">
      <w:pPr>
        <w:pStyle w:val="26"/>
        <w:ind w:left="560" w:firstLine="1044"/>
        <w:jc w:val="center"/>
        <w:rPr>
          <w:b/>
          <w:bCs/>
          <w:sz w:val="52"/>
          <w:szCs w:val="52"/>
        </w:rPr>
      </w:pPr>
    </w:p>
    <w:p w14:paraId="476DC9BC">
      <w:pPr>
        <w:pStyle w:val="26"/>
        <w:ind w:left="560" w:firstLine="1044"/>
        <w:jc w:val="center"/>
        <w:rPr>
          <w:b/>
          <w:bCs/>
          <w:sz w:val="52"/>
          <w:szCs w:val="52"/>
        </w:rPr>
      </w:pPr>
    </w:p>
    <w:p w14:paraId="27AC03F4">
      <w:pPr>
        <w:pStyle w:val="26"/>
        <w:ind w:left="560" w:firstLine="1044"/>
        <w:jc w:val="center"/>
        <w:rPr>
          <w:b/>
          <w:bCs/>
          <w:sz w:val="52"/>
          <w:szCs w:val="52"/>
        </w:rPr>
      </w:pPr>
    </w:p>
    <w:p w14:paraId="2DB8FB0C">
      <w:pPr>
        <w:pStyle w:val="26"/>
        <w:ind w:left="560" w:firstLine="1044"/>
        <w:jc w:val="center"/>
        <w:rPr>
          <w:b/>
          <w:bCs/>
          <w:sz w:val="52"/>
          <w:szCs w:val="52"/>
        </w:rPr>
      </w:pPr>
    </w:p>
    <w:p w14:paraId="5F3165FD">
      <w:pPr>
        <w:pStyle w:val="26"/>
        <w:ind w:left="560" w:firstLine="1044"/>
        <w:jc w:val="center"/>
        <w:rPr>
          <w:b/>
          <w:bCs/>
          <w:sz w:val="52"/>
          <w:szCs w:val="52"/>
        </w:rPr>
      </w:pPr>
    </w:p>
    <w:p w14:paraId="15A67E45">
      <w:pPr>
        <w:pStyle w:val="26"/>
        <w:ind w:left="560" w:firstLine="1044"/>
        <w:jc w:val="center"/>
        <w:rPr>
          <w:b/>
          <w:bCs/>
          <w:sz w:val="52"/>
          <w:szCs w:val="52"/>
        </w:rPr>
      </w:pPr>
    </w:p>
    <w:p w14:paraId="4CC09EE4">
      <w:pPr>
        <w:pStyle w:val="26"/>
        <w:ind w:left="560" w:firstLine="1044"/>
        <w:jc w:val="center"/>
        <w:rPr>
          <w:b/>
          <w:bCs/>
          <w:sz w:val="52"/>
          <w:szCs w:val="52"/>
        </w:rPr>
      </w:pPr>
    </w:p>
    <w:p w14:paraId="4DB54AD0">
      <w:pPr>
        <w:pStyle w:val="26"/>
        <w:ind w:left="560" w:firstLine="1044"/>
        <w:jc w:val="center"/>
        <w:rPr>
          <w:b/>
          <w:bCs/>
          <w:sz w:val="52"/>
          <w:szCs w:val="52"/>
        </w:rPr>
      </w:pPr>
    </w:p>
    <w:p w14:paraId="147224DA">
      <w:pPr>
        <w:pStyle w:val="26"/>
        <w:ind w:left="560" w:firstLine="1044"/>
        <w:jc w:val="center"/>
        <w:rPr>
          <w:b/>
          <w:bCs/>
          <w:sz w:val="52"/>
          <w:szCs w:val="52"/>
        </w:rPr>
      </w:pPr>
    </w:p>
    <w:p w14:paraId="649FC3F7">
      <w:pPr>
        <w:pStyle w:val="26"/>
        <w:ind w:left="560" w:firstLine="1044"/>
        <w:jc w:val="center"/>
        <w:rPr>
          <w:b/>
          <w:bCs/>
          <w:sz w:val="52"/>
          <w:szCs w:val="52"/>
        </w:rPr>
      </w:pPr>
    </w:p>
    <w:p w14:paraId="54276A48">
      <w:pPr>
        <w:pStyle w:val="26"/>
        <w:ind w:left="560" w:firstLine="1044"/>
        <w:jc w:val="center"/>
        <w:rPr>
          <w:b/>
          <w:bCs/>
          <w:sz w:val="52"/>
          <w:szCs w:val="52"/>
        </w:rPr>
      </w:pPr>
    </w:p>
    <w:p w14:paraId="59A30C33">
      <w:pPr>
        <w:pStyle w:val="26"/>
        <w:ind w:firstLine="0"/>
        <w:rPr>
          <w:b/>
          <w:bCs/>
          <w:sz w:val="52"/>
          <w:szCs w:val="52"/>
        </w:rPr>
      </w:pPr>
    </w:p>
    <w:p w14:paraId="45C98EC5">
      <w:pPr>
        <w:pStyle w:val="26"/>
        <w:ind w:firstLine="0"/>
        <w:jc w:val="center"/>
        <w:rPr>
          <w:bCs/>
          <w:sz w:val="52"/>
          <w:szCs w:val="52"/>
        </w:rPr>
      </w:pPr>
      <w:r>
        <w:rPr>
          <w:rFonts w:hint="eastAsia"/>
          <w:bCs/>
          <w:sz w:val="52"/>
          <w:szCs w:val="52"/>
        </w:rPr>
        <w:t>2</w:t>
      </w:r>
      <w:r>
        <w:rPr>
          <w:bCs/>
          <w:sz w:val="52"/>
          <w:szCs w:val="52"/>
        </w:rPr>
        <w:t>02</w:t>
      </w:r>
      <w:r>
        <w:rPr>
          <w:rFonts w:hint="eastAsia"/>
          <w:bCs/>
          <w:sz w:val="52"/>
          <w:szCs w:val="52"/>
          <w:lang w:val="en-US" w:eastAsia="zh-CN"/>
        </w:rPr>
        <w:t>5</w:t>
      </w:r>
      <w:r>
        <w:rPr>
          <w:rFonts w:hint="eastAsia"/>
          <w:bCs/>
          <w:sz w:val="52"/>
          <w:szCs w:val="52"/>
        </w:rPr>
        <w:t>年</w:t>
      </w:r>
      <w:r>
        <w:rPr>
          <w:rFonts w:hint="eastAsia"/>
          <w:bCs/>
          <w:sz w:val="52"/>
          <w:szCs w:val="52"/>
          <w:lang w:val="en-US" w:eastAsia="zh-CN"/>
        </w:rPr>
        <w:t>11</w:t>
      </w:r>
      <w:r>
        <w:rPr>
          <w:rFonts w:hint="eastAsia"/>
          <w:bCs/>
          <w:sz w:val="52"/>
          <w:szCs w:val="52"/>
        </w:rPr>
        <w:t>月</w:t>
      </w:r>
    </w:p>
    <w:p w14:paraId="352FE362">
      <w:pPr>
        <w:pStyle w:val="26"/>
        <w:ind w:left="560" w:firstLine="560"/>
      </w:pPr>
    </w:p>
    <w:p w14:paraId="7F70CF1C">
      <w:pPr>
        <w:widowControl/>
        <w:spacing w:line="240" w:lineRule="auto"/>
        <w:ind w:firstLine="0" w:firstLineChars="0"/>
        <w:jc w:val="left"/>
        <w:rPr>
          <w:rFonts w:eastAsia="宋体"/>
          <w:kern w:val="0"/>
          <w:sz w:val="24"/>
          <w:szCs w:val="20"/>
        </w:rPr>
      </w:pPr>
      <w:r>
        <w:rPr>
          <w:rFonts w:eastAsia="宋体"/>
          <w:sz w:val="40"/>
          <w:szCs w:val="28"/>
        </w:rPr>
        <w:br w:type="page"/>
      </w:r>
    </w:p>
    <w:sdt>
      <w:sdtPr>
        <w:rPr>
          <w:rFonts w:ascii="Times New Roman" w:hAnsi="Times New Roman" w:eastAsia="仿宋" w:cs="Times New Roman"/>
          <w:color w:val="auto"/>
          <w:kern w:val="2"/>
          <w:sz w:val="28"/>
          <w:szCs w:val="24"/>
          <w:lang w:val="zh-CN"/>
        </w:rPr>
        <w:id w:val="-2036254074"/>
        <w:docPartObj>
          <w:docPartGallery w:val="Table of Contents"/>
          <w:docPartUnique/>
        </w:docPartObj>
      </w:sdtPr>
      <w:sdtEndPr>
        <w:rPr>
          <w:rFonts w:ascii="Times New Roman" w:hAnsi="Times New Roman" w:eastAsia="仿宋" w:cs="Times New Roman"/>
          <w:b/>
          <w:bCs/>
          <w:color w:val="auto"/>
          <w:kern w:val="2"/>
          <w:sz w:val="28"/>
          <w:szCs w:val="24"/>
          <w:lang w:val="zh-CN"/>
        </w:rPr>
      </w:sdtEndPr>
      <w:sdtContent>
        <w:p w14:paraId="62748E8D">
          <w:pPr>
            <w:pStyle w:val="25"/>
            <w:jc w:val="center"/>
            <w:rPr>
              <w:rFonts w:ascii="仿宋" w:hAnsi="仿宋" w:eastAsia="仿宋"/>
              <w:color w:val="auto"/>
            </w:rPr>
          </w:pPr>
          <w:r>
            <w:rPr>
              <w:rFonts w:ascii="仿宋" w:hAnsi="仿宋" w:eastAsia="仿宋"/>
              <w:color w:val="auto"/>
              <w:lang w:val="zh-CN"/>
            </w:rPr>
            <w:t>目</w:t>
          </w:r>
          <w:r>
            <w:rPr>
              <w:rFonts w:hint="eastAsia" w:ascii="仿宋" w:hAnsi="仿宋" w:eastAsia="仿宋"/>
              <w:color w:val="auto"/>
              <w:lang w:val="zh-CN"/>
            </w:rPr>
            <w:t xml:space="preserve"> </w:t>
          </w:r>
          <w:r>
            <w:rPr>
              <w:rFonts w:ascii="仿宋" w:hAnsi="仿宋" w:eastAsia="仿宋"/>
              <w:color w:val="auto"/>
              <w:lang w:val="zh-CN"/>
            </w:rPr>
            <w:t xml:space="preserve">    录</w:t>
          </w:r>
        </w:p>
        <w:p w14:paraId="4FAF03B7">
          <w:pPr>
            <w:pStyle w:val="9"/>
            <w:rPr>
              <w:rFonts w:ascii="仿宋" w:hAnsi="仿宋" w:cstheme="minorBidi"/>
              <w:sz w:val="21"/>
              <w:szCs w:val="22"/>
            </w:rPr>
          </w:pPr>
          <w:r>
            <w:rPr>
              <w:rFonts w:ascii="仿宋" w:hAnsi="仿宋"/>
            </w:rPr>
            <w:fldChar w:fldCharType="begin"/>
          </w:r>
          <w:r>
            <w:rPr>
              <w:rFonts w:ascii="仿宋" w:hAnsi="仿宋"/>
            </w:rPr>
            <w:instrText xml:space="preserve"> TOC \o "1-3" \h \z \u </w:instrText>
          </w:r>
          <w:r>
            <w:rPr>
              <w:rFonts w:ascii="仿宋" w:hAnsi="仿宋"/>
            </w:rPr>
            <w:fldChar w:fldCharType="separate"/>
          </w:r>
          <w:r>
            <w:fldChar w:fldCharType="begin"/>
          </w:r>
          <w:r>
            <w:instrText xml:space="preserve"> HYPERLINK \l "_Toc72258204" </w:instrText>
          </w:r>
          <w:r>
            <w:fldChar w:fldCharType="separate"/>
          </w:r>
          <w:r>
            <w:rPr>
              <w:rStyle w:val="15"/>
              <w:rFonts w:ascii="仿宋" w:hAnsi="仿宋"/>
              <w:b/>
            </w:rPr>
            <w:t>前  言</w:t>
          </w:r>
          <w:r>
            <w:rPr>
              <w:rFonts w:ascii="仿宋" w:hAnsi="仿宋"/>
            </w:rPr>
            <w:tab/>
          </w:r>
          <w:r>
            <w:rPr>
              <w:rFonts w:ascii="仿宋" w:hAnsi="仿宋"/>
            </w:rPr>
            <w:fldChar w:fldCharType="begin"/>
          </w:r>
          <w:r>
            <w:rPr>
              <w:rFonts w:ascii="仿宋" w:hAnsi="仿宋"/>
            </w:rPr>
            <w:instrText xml:space="preserve"> PAGEREF _Toc72258204 \h </w:instrText>
          </w:r>
          <w:r>
            <w:rPr>
              <w:rFonts w:ascii="仿宋" w:hAnsi="仿宋"/>
            </w:rPr>
            <w:fldChar w:fldCharType="separate"/>
          </w:r>
          <w:r>
            <w:rPr>
              <w:rFonts w:ascii="仿宋" w:hAnsi="仿宋"/>
            </w:rPr>
            <w:t>1</w:t>
          </w:r>
          <w:r>
            <w:rPr>
              <w:rFonts w:ascii="仿宋" w:hAnsi="仿宋"/>
            </w:rPr>
            <w:fldChar w:fldCharType="end"/>
          </w:r>
          <w:r>
            <w:rPr>
              <w:rFonts w:ascii="仿宋" w:hAnsi="仿宋"/>
            </w:rPr>
            <w:fldChar w:fldCharType="end"/>
          </w:r>
        </w:p>
        <w:p w14:paraId="082E6F88">
          <w:pPr>
            <w:pStyle w:val="9"/>
            <w:rPr>
              <w:rFonts w:ascii="仿宋" w:hAnsi="仿宋" w:cstheme="minorBidi"/>
              <w:sz w:val="21"/>
              <w:szCs w:val="22"/>
            </w:rPr>
          </w:pPr>
          <w:r>
            <w:fldChar w:fldCharType="begin"/>
          </w:r>
          <w:r>
            <w:instrText xml:space="preserve"> HYPERLINK \l "_Toc72258205" </w:instrText>
          </w:r>
          <w:r>
            <w:fldChar w:fldCharType="separate"/>
          </w:r>
          <w:r>
            <w:rPr>
              <w:rStyle w:val="15"/>
              <w:rFonts w:ascii="仿宋" w:hAnsi="仿宋"/>
              <w:b/>
            </w:rPr>
            <w:t>一、“十三五”回顾</w:t>
          </w:r>
          <w:r>
            <w:rPr>
              <w:rFonts w:ascii="仿宋" w:hAnsi="仿宋"/>
            </w:rPr>
            <w:tab/>
          </w:r>
          <w:r>
            <w:rPr>
              <w:rFonts w:ascii="仿宋" w:hAnsi="仿宋"/>
            </w:rPr>
            <w:fldChar w:fldCharType="begin"/>
          </w:r>
          <w:r>
            <w:rPr>
              <w:rFonts w:ascii="仿宋" w:hAnsi="仿宋"/>
            </w:rPr>
            <w:instrText xml:space="preserve"> PAGEREF _Toc72258205 \h </w:instrText>
          </w:r>
          <w:r>
            <w:rPr>
              <w:rFonts w:ascii="仿宋" w:hAnsi="仿宋"/>
            </w:rPr>
            <w:fldChar w:fldCharType="separate"/>
          </w:r>
          <w:r>
            <w:rPr>
              <w:rFonts w:ascii="仿宋" w:hAnsi="仿宋"/>
            </w:rPr>
            <w:t>2</w:t>
          </w:r>
          <w:r>
            <w:rPr>
              <w:rFonts w:ascii="仿宋" w:hAnsi="仿宋"/>
            </w:rPr>
            <w:fldChar w:fldCharType="end"/>
          </w:r>
          <w:r>
            <w:rPr>
              <w:rFonts w:ascii="仿宋" w:hAnsi="仿宋"/>
            </w:rPr>
            <w:fldChar w:fldCharType="end"/>
          </w:r>
        </w:p>
        <w:p w14:paraId="78796508">
          <w:pPr>
            <w:pStyle w:val="10"/>
            <w:rPr>
              <w:rFonts w:ascii="仿宋" w:hAnsi="仿宋" w:cstheme="minorBidi"/>
              <w:sz w:val="21"/>
              <w:szCs w:val="22"/>
            </w:rPr>
          </w:pPr>
          <w:r>
            <w:fldChar w:fldCharType="begin"/>
          </w:r>
          <w:r>
            <w:instrText xml:space="preserve"> HYPERLINK \l "_Toc72258206" </w:instrText>
          </w:r>
          <w:r>
            <w:fldChar w:fldCharType="separate"/>
          </w:r>
          <w:r>
            <w:rPr>
              <w:rStyle w:val="15"/>
              <w:rFonts w:ascii="仿宋" w:hAnsi="仿宋"/>
              <w:bCs/>
            </w:rPr>
            <w:t>（一）“十三五”期间交通运输工作取得的成就</w:t>
          </w:r>
          <w:r>
            <w:rPr>
              <w:rFonts w:ascii="仿宋" w:hAnsi="仿宋"/>
            </w:rPr>
            <w:tab/>
          </w:r>
          <w:r>
            <w:rPr>
              <w:rFonts w:ascii="仿宋" w:hAnsi="仿宋"/>
            </w:rPr>
            <w:fldChar w:fldCharType="begin"/>
          </w:r>
          <w:r>
            <w:rPr>
              <w:rFonts w:ascii="仿宋" w:hAnsi="仿宋"/>
            </w:rPr>
            <w:instrText xml:space="preserve"> PAGEREF _Toc72258206 \h </w:instrText>
          </w:r>
          <w:r>
            <w:rPr>
              <w:rFonts w:ascii="仿宋" w:hAnsi="仿宋"/>
            </w:rPr>
            <w:fldChar w:fldCharType="separate"/>
          </w:r>
          <w:r>
            <w:rPr>
              <w:rFonts w:ascii="仿宋" w:hAnsi="仿宋"/>
            </w:rPr>
            <w:t>2</w:t>
          </w:r>
          <w:r>
            <w:rPr>
              <w:rFonts w:ascii="仿宋" w:hAnsi="仿宋"/>
            </w:rPr>
            <w:fldChar w:fldCharType="end"/>
          </w:r>
          <w:r>
            <w:rPr>
              <w:rFonts w:ascii="仿宋" w:hAnsi="仿宋"/>
            </w:rPr>
            <w:fldChar w:fldCharType="end"/>
          </w:r>
        </w:p>
        <w:p w14:paraId="6425DFB0">
          <w:pPr>
            <w:pStyle w:val="10"/>
            <w:rPr>
              <w:rFonts w:ascii="仿宋" w:hAnsi="仿宋" w:cstheme="minorBidi"/>
              <w:sz w:val="21"/>
              <w:szCs w:val="22"/>
            </w:rPr>
          </w:pPr>
          <w:r>
            <w:fldChar w:fldCharType="begin"/>
          </w:r>
          <w:r>
            <w:instrText xml:space="preserve"> HYPERLINK \l "_Toc72258207" </w:instrText>
          </w:r>
          <w:r>
            <w:fldChar w:fldCharType="separate"/>
          </w:r>
          <w:r>
            <w:rPr>
              <w:rStyle w:val="15"/>
              <w:rFonts w:ascii="仿宋" w:hAnsi="仿宋"/>
              <w:bCs/>
            </w:rPr>
            <w:t>（二）交通运输方面存在的问题</w:t>
          </w:r>
          <w:r>
            <w:rPr>
              <w:rFonts w:ascii="仿宋" w:hAnsi="仿宋"/>
            </w:rPr>
            <w:tab/>
          </w:r>
          <w:r>
            <w:rPr>
              <w:rFonts w:ascii="仿宋" w:hAnsi="仿宋"/>
            </w:rPr>
            <w:fldChar w:fldCharType="begin"/>
          </w:r>
          <w:r>
            <w:rPr>
              <w:rFonts w:ascii="仿宋" w:hAnsi="仿宋"/>
            </w:rPr>
            <w:instrText xml:space="preserve"> PAGEREF _Toc72258207 \h </w:instrText>
          </w:r>
          <w:r>
            <w:rPr>
              <w:rFonts w:ascii="仿宋" w:hAnsi="仿宋"/>
            </w:rPr>
            <w:fldChar w:fldCharType="separate"/>
          </w:r>
          <w:r>
            <w:rPr>
              <w:rFonts w:ascii="仿宋" w:hAnsi="仿宋"/>
            </w:rPr>
            <w:t>3</w:t>
          </w:r>
          <w:r>
            <w:rPr>
              <w:rFonts w:ascii="仿宋" w:hAnsi="仿宋"/>
            </w:rPr>
            <w:fldChar w:fldCharType="end"/>
          </w:r>
          <w:r>
            <w:rPr>
              <w:rFonts w:ascii="仿宋" w:hAnsi="仿宋"/>
            </w:rPr>
            <w:fldChar w:fldCharType="end"/>
          </w:r>
        </w:p>
        <w:p w14:paraId="1C033F7A">
          <w:pPr>
            <w:pStyle w:val="10"/>
            <w:rPr>
              <w:rFonts w:ascii="仿宋" w:hAnsi="仿宋" w:cstheme="minorBidi"/>
              <w:sz w:val="21"/>
              <w:szCs w:val="22"/>
            </w:rPr>
          </w:pPr>
          <w:r>
            <w:fldChar w:fldCharType="begin"/>
          </w:r>
          <w:r>
            <w:instrText xml:space="preserve"> HYPERLINK \l "_Toc72258208" </w:instrText>
          </w:r>
          <w:r>
            <w:fldChar w:fldCharType="separate"/>
          </w:r>
          <w:r>
            <w:rPr>
              <w:rStyle w:val="15"/>
              <w:rFonts w:ascii="仿宋" w:hAnsi="仿宋"/>
              <w:bCs/>
            </w:rPr>
            <w:t>（三）未来发展形势需求</w:t>
          </w:r>
          <w:r>
            <w:rPr>
              <w:rFonts w:ascii="仿宋" w:hAnsi="仿宋"/>
            </w:rPr>
            <w:tab/>
          </w:r>
          <w:r>
            <w:rPr>
              <w:rFonts w:ascii="仿宋" w:hAnsi="仿宋"/>
            </w:rPr>
            <w:fldChar w:fldCharType="begin"/>
          </w:r>
          <w:r>
            <w:rPr>
              <w:rFonts w:ascii="仿宋" w:hAnsi="仿宋"/>
            </w:rPr>
            <w:instrText xml:space="preserve"> PAGEREF _Toc72258208 \h </w:instrText>
          </w:r>
          <w:r>
            <w:rPr>
              <w:rFonts w:ascii="仿宋" w:hAnsi="仿宋"/>
            </w:rPr>
            <w:fldChar w:fldCharType="separate"/>
          </w:r>
          <w:r>
            <w:rPr>
              <w:rFonts w:ascii="仿宋" w:hAnsi="仿宋"/>
            </w:rPr>
            <w:t>4</w:t>
          </w:r>
          <w:r>
            <w:rPr>
              <w:rFonts w:ascii="仿宋" w:hAnsi="仿宋"/>
            </w:rPr>
            <w:fldChar w:fldCharType="end"/>
          </w:r>
          <w:r>
            <w:rPr>
              <w:rFonts w:ascii="仿宋" w:hAnsi="仿宋"/>
            </w:rPr>
            <w:fldChar w:fldCharType="end"/>
          </w:r>
        </w:p>
        <w:p w14:paraId="43A6EB4F">
          <w:pPr>
            <w:pStyle w:val="9"/>
            <w:rPr>
              <w:rFonts w:ascii="仿宋" w:hAnsi="仿宋" w:cstheme="minorBidi"/>
              <w:sz w:val="21"/>
              <w:szCs w:val="22"/>
            </w:rPr>
          </w:pPr>
          <w:r>
            <w:fldChar w:fldCharType="begin"/>
          </w:r>
          <w:r>
            <w:instrText xml:space="preserve"> HYPERLINK \l "_Toc72258209" </w:instrText>
          </w:r>
          <w:r>
            <w:fldChar w:fldCharType="separate"/>
          </w:r>
          <w:r>
            <w:rPr>
              <w:rStyle w:val="15"/>
              <w:rFonts w:ascii="仿宋" w:hAnsi="仿宋"/>
              <w:b/>
            </w:rPr>
            <w:t>二、“十四五”指导思想、基本原则与规划目标</w:t>
          </w:r>
          <w:r>
            <w:rPr>
              <w:rFonts w:ascii="仿宋" w:hAnsi="仿宋"/>
            </w:rPr>
            <w:tab/>
          </w:r>
          <w:r>
            <w:rPr>
              <w:rFonts w:ascii="仿宋" w:hAnsi="仿宋"/>
            </w:rPr>
            <w:fldChar w:fldCharType="begin"/>
          </w:r>
          <w:r>
            <w:rPr>
              <w:rFonts w:ascii="仿宋" w:hAnsi="仿宋"/>
            </w:rPr>
            <w:instrText xml:space="preserve"> PAGEREF _Toc72258209 \h </w:instrText>
          </w:r>
          <w:r>
            <w:rPr>
              <w:rFonts w:ascii="仿宋" w:hAnsi="仿宋"/>
            </w:rPr>
            <w:fldChar w:fldCharType="separate"/>
          </w:r>
          <w:r>
            <w:rPr>
              <w:rFonts w:ascii="仿宋" w:hAnsi="仿宋"/>
            </w:rPr>
            <w:t>6</w:t>
          </w:r>
          <w:r>
            <w:rPr>
              <w:rFonts w:ascii="仿宋" w:hAnsi="仿宋"/>
            </w:rPr>
            <w:fldChar w:fldCharType="end"/>
          </w:r>
          <w:r>
            <w:rPr>
              <w:rFonts w:ascii="仿宋" w:hAnsi="仿宋"/>
            </w:rPr>
            <w:fldChar w:fldCharType="end"/>
          </w:r>
        </w:p>
        <w:p w14:paraId="759E142E">
          <w:pPr>
            <w:pStyle w:val="10"/>
            <w:rPr>
              <w:rFonts w:ascii="仿宋" w:hAnsi="仿宋" w:cstheme="minorBidi"/>
              <w:sz w:val="21"/>
              <w:szCs w:val="22"/>
            </w:rPr>
          </w:pPr>
          <w:r>
            <w:fldChar w:fldCharType="begin"/>
          </w:r>
          <w:r>
            <w:instrText xml:space="preserve"> HYPERLINK \l "_Toc72258210" </w:instrText>
          </w:r>
          <w:r>
            <w:fldChar w:fldCharType="separate"/>
          </w:r>
          <w:r>
            <w:rPr>
              <w:rStyle w:val="15"/>
              <w:rFonts w:ascii="仿宋" w:hAnsi="仿宋"/>
              <w:bCs/>
            </w:rPr>
            <w:t>（一）指导思想</w:t>
          </w:r>
          <w:r>
            <w:rPr>
              <w:rFonts w:ascii="仿宋" w:hAnsi="仿宋"/>
            </w:rPr>
            <w:tab/>
          </w:r>
          <w:r>
            <w:rPr>
              <w:rFonts w:ascii="仿宋" w:hAnsi="仿宋"/>
            </w:rPr>
            <w:fldChar w:fldCharType="begin"/>
          </w:r>
          <w:r>
            <w:rPr>
              <w:rFonts w:ascii="仿宋" w:hAnsi="仿宋"/>
            </w:rPr>
            <w:instrText xml:space="preserve"> PAGEREF _Toc72258210 \h </w:instrText>
          </w:r>
          <w:r>
            <w:rPr>
              <w:rFonts w:ascii="仿宋" w:hAnsi="仿宋"/>
            </w:rPr>
            <w:fldChar w:fldCharType="separate"/>
          </w:r>
          <w:r>
            <w:rPr>
              <w:rFonts w:ascii="仿宋" w:hAnsi="仿宋"/>
            </w:rPr>
            <w:t>6</w:t>
          </w:r>
          <w:r>
            <w:rPr>
              <w:rFonts w:ascii="仿宋" w:hAnsi="仿宋"/>
            </w:rPr>
            <w:fldChar w:fldCharType="end"/>
          </w:r>
          <w:r>
            <w:rPr>
              <w:rFonts w:ascii="仿宋" w:hAnsi="仿宋"/>
            </w:rPr>
            <w:fldChar w:fldCharType="end"/>
          </w:r>
        </w:p>
        <w:p w14:paraId="4C792AC9">
          <w:pPr>
            <w:pStyle w:val="10"/>
            <w:rPr>
              <w:rFonts w:ascii="仿宋" w:hAnsi="仿宋" w:cstheme="minorBidi"/>
              <w:sz w:val="21"/>
              <w:szCs w:val="22"/>
            </w:rPr>
          </w:pPr>
          <w:r>
            <w:fldChar w:fldCharType="begin"/>
          </w:r>
          <w:r>
            <w:instrText xml:space="preserve"> HYPERLINK \l "_Toc72258211" </w:instrText>
          </w:r>
          <w:r>
            <w:fldChar w:fldCharType="separate"/>
          </w:r>
          <w:r>
            <w:rPr>
              <w:rStyle w:val="15"/>
              <w:rFonts w:ascii="仿宋" w:hAnsi="仿宋"/>
              <w:bCs/>
            </w:rPr>
            <w:t>（二）规划原则</w:t>
          </w:r>
          <w:r>
            <w:rPr>
              <w:rFonts w:ascii="仿宋" w:hAnsi="仿宋"/>
            </w:rPr>
            <w:tab/>
          </w:r>
          <w:r>
            <w:rPr>
              <w:rFonts w:ascii="仿宋" w:hAnsi="仿宋"/>
            </w:rPr>
            <w:fldChar w:fldCharType="begin"/>
          </w:r>
          <w:r>
            <w:rPr>
              <w:rFonts w:ascii="仿宋" w:hAnsi="仿宋"/>
            </w:rPr>
            <w:instrText xml:space="preserve"> PAGEREF _Toc72258211 \h </w:instrText>
          </w:r>
          <w:r>
            <w:rPr>
              <w:rFonts w:ascii="仿宋" w:hAnsi="仿宋"/>
            </w:rPr>
            <w:fldChar w:fldCharType="separate"/>
          </w:r>
          <w:r>
            <w:rPr>
              <w:rFonts w:ascii="仿宋" w:hAnsi="仿宋"/>
            </w:rPr>
            <w:t>6</w:t>
          </w:r>
          <w:r>
            <w:rPr>
              <w:rFonts w:ascii="仿宋" w:hAnsi="仿宋"/>
            </w:rPr>
            <w:fldChar w:fldCharType="end"/>
          </w:r>
          <w:r>
            <w:rPr>
              <w:rFonts w:ascii="仿宋" w:hAnsi="仿宋"/>
            </w:rPr>
            <w:fldChar w:fldCharType="end"/>
          </w:r>
        </w:p>
        <w:p w14:paraId="5F6B4772">
          <w:pPr>
            <w:pStyle w:val="10"/>
            <w:rPr>
              <w:rFonts w:ascii="仿宋" w:hAnsi="仿宋" w:cstheme="minorBidi"/>
              <w:sz w:val="21"/>
              <w:szCs w:val="22"/>
            </w:rPr>
          </w:pPr>
          <w:r>
            <w:fldChar w:fldCharType="begin"/>
          </w:r>
          <w:r>
            <w:instrText xml:space="preserve"> HYPERLINK \l "_Toc72258212" </w:instrText>
          </w:r>
          <w:r>
            <w:fldChar w:fldCharType="separate"/>
          </w:r>
          <w:r>
            <w:rPr>
              <w:rStyle w:val="15"/>
              <w:rFonts w:ascii="仿宋" w:hAnsi="仿宋"/>
              <w:bCs/>
            </w:rPr>
            <w:t>（三）规划目标</w:t>
          </w:r>
          <w:r>
            <w:rPr>
              <w:rFonts w:ascii="仿宋" w:hAnsi="仿宋"/>
            </w:rPr>
            <w:tab/>
          </w:r>
          <w:r>
            <w:rPr>
              <w:rFonts w:ascii="仿宋" w:hAnsi="仿宋"/>
            </w:rPr>
            <w:fldChar w:fldCharType="begin"/>
          </w:r>
          <w:r>
            <w:rPr>
              <w:rFonts w:ascii="仿宋" w:hAnsi="仿宋"/>
            </w:rPr>
            <w:instrText xml:space="preserve"> PAGEREF _Toc72258212 \h </w:instrText>
          </w:r>
          <w:r>
            <w:rPr>
              <w:rFonts w:ascii="仿宋" w:hAnsi="仿宋"/>
            </w:rPr>
            <w:fldChar w:fldCharType="separate"/>
          </w:r>
          <w:r>
            <w:rPr>
              <w:rFonts w:ascii="仿宋" w:hAnsi="仿宋"/>
            </w:rPr>
            <w:t>7</w:t>
          </w:r>
          <w:r>
            <w:rPr>
              <w:rFonts w:ascii="仿宋" w:hAnsi="仿宋"/>
            </w:rPr>
            <w:fldChar w:fldCharType="end"/>
          </w:r>
          <w:r>
            <w:rPr>
              <w:rFonts w:ascii="仿宋" w:hAnsi="仿宋"/>
            </w:rPr>
            <w:fldChar w:fldCharType="end"/>
          </w:r>
        </w:p>
        <w:p w14:paraId="31A0C5DE">
          <w:pPr>
            <w:pStyle w:val="10"/>
            <w:rPr>
              <w:rFonts w:ascii="仿宋" w:hAnsi="仿宋" w:cstheme="minorBidi"/>
              <w:sz w:val="21"/>
              <w:szCs w:val="22"/>
            </w:rPr>
          </w:pPr>
          <w:r>
            <w:fldChar w:fldCharType="begin"/>
          </w:r>
          <w:r>
            <w:instrText xml:space="preserve"> HYPERLINK \l "_Toc72258213" </w:instrText>
          </w:r>
          <w:r>
            <w:fldChar w:fldCharType="separate"/>
          </w:r>
          <w:r>
            <w:rPr>
              <w:rStyle w:val="15"/>
              <w:rFonts w:ascii="仿宋" w:hAnsi="仿宋"/>
              <w:bCs/>
            </w:rPr>
            <w:t>（四）规划指标</w:t>
          </w:r>
          <w:r>
            <w:rPr>
              <w:rFonts w:ascii="仿宋" w:hAnsi="仿宋"/>
            </w:rPr>
            <w:tab/>
          </w:r>
          <w:r>
            <w:rPr>
              <w:rFonts w:ascii="仿宋" w:hAnsi="仿宋"/>
            </w:rPr>
            <w:fldChar w:fldCharType="begin"/>
          </w:r>
          <w:r>
            <w:rPr>
              <w:rFonts w:ascii="仿宋" w:hAnsi="仿宋"/>
            </w:rPr>
            <w:instrText xml:space="preserve"> PAGEREF _Toc72258213 \h </w:instrText>
          </w:r>
          <w:r>
            <w:rPr>
              <w:rFonts w:ascii="仿宋" w:hAnsi="仿宋"/>
            </w:rPr>
            <w:fldChar w:fldCharType="separate"/>
          </w:r>
          <w:r>
            <w:rPr>
              <w:rFonts w:ascii="仿宋" w:hAnsi="仿宋"/>
            </w:rPr>
            <w:t>8</w:t>
          </w:r>
          <w:r>
            <w:rPr>
              <w:rFonts w:ascii="仿宋" w:hAnsi="仿宋"/>
            </w:rPr>
            <w:fldChar w:fldCharType="end"/>
          </w:r>
          <w:r>
            <w:rPr>
              <w:rFonts w:ascii="仿宋" w:hAnsi="仿宋"/>
            </w:rPr>
            <w:fldChar w:fldCharType="end"/>
          </w:r>
        </w:p>
        <w:p w14:paraId="7FD3AD3C">
          <w:pPr>
            <w:pStyle w:val="9"/>
            <w:rPr>
              <w:rFonts w:ascii="仿宋" w:hAnsi="仿宋" w:cstheme="minorBidi"/>
              <w:sz w:val="21"/>
              <w:szCs w:val="22"/>
            </w:rPr>
          </w:pPr>
          <w:r>
            <w:fldChar w:fldCharType="begin"/>
          </w:r>
          <w:r>
            <w:instrText xml:space="preserve"> HYPERLINK \l "_Toc72258214" </w:instrText>
          </w:r>
          <w:r>
            <w:fldChar w:fldCharType="separate"/>
          </w:r>
          <w:r>
            <w:rPr>
              <w:rStyle w:val="15"/>
              <w:rFonts w:ascii="仿宋" w:hAnsi="仿宋"/>
              <w:b/>
            </w:rPr>
            <w:t>三、重点项目和主要任务</w:t>
          </w:r>
          <w:r>
            <w:rPr>
              <w:rFonts w:ascii="仿宋" w:hAnsi="仿宋"/>
            </w:rPr>
            <w:tab/>
          </w:r>
          <w:r>
            <w:rPr>
              <w:rFonts w:ascii="仿宋" w:hAnsi="仿宋"/>
            </w:rPr>
            <w:fldChar w:fldCharType="begin"/>
          </w:r>
          <w:r>
            <w:rPr>
              <w:rFonts w:ascii="仿宋" w:hAnsi="仿宋"/>
            </w:rPr>
            <w:instrText xml:space="preserve"> PAGEREF _Toc72258214 \h </w:instrText>
          </w:r>
          <w:r>
            <w:rPr>
              <w:rFonts w:ascii="仿宋" w:hAnsi="仿宋"/>
            </w:rPr>
            <w:fldChar w:fldCharType="separate"/>
          </w:r>
          <w:r>
            <w:rPr>
              <w:rFonts w:ascii="仿宋" w:hAnsi="仿宋"/>
            </w:rPr>
            <w:t>9</w:t>
          </w:r>
          <w:r>
            <w:rPr>
              <w:rFonts w:ascii="仿宋" w:hAnsi="仿宋"/>
            </w:rPr>
            <w:fldChar w:fldCharType="end"/>
          </w:r>
          <w:r>
            <w:rPr>
              <w:rFonts w:ascii="仿宋" w:hAnsi="仿宋"/>
            </w:rPr>
            <w:fldChar w:fldCharType="end"/>
          </w:r>
        </w:p>
        <w:p w14:paraId="76A9E3F5">
          <w:pPr>
            <w:pStyle w:val="10"/>
            <w:rPr>
              <w:rFonts w:ascii="仿宋" w:hAnsi="仿宋" w:cstheme="minorBidi"/>
              <w:sz w:val="21"/>
              <w:szCs w:val="22"/>
            </w:rPr>
          </w:pPr>
          <w:r>
            <w:fldChar w:fldCharType="begin"/>
          </w:r>
          <w:r>
            <w:instrText xml:space="preserve"> HYPERLINK \l "_Toc72258215" </w:instrText>
          </w:r>
          <w:r>
            <w:fldChar w:fldCharType="separate"/>
          </w:r>
          <w:r>
            <w:rPr>
              <w:rStyle w:val="15"/>
              <w:rFonts w:ascii="仿宋" w:hAnsi="仿宋"/>
              <w:bCs/>
            </w:rPr>
            <w:t>（一）优化公交线网布局，推进“绿色交通”发展</w:t>
          </w:r>
          <w:r>
            <w:rPr>
              <w:rFonts w:ascii="仿宋" w:hAnsi="仿宋"/>
            </w:rPr>
            <w:tab/>
          </w:r>
          <w:r>
            <w:rPr>
              <w:rFonts w:ascii="仿宋" w:hAnsi="仿宋"/>
            </w:rPr>
            <w:fldChar w:fldCharType="begin"/>
          </w:r>
          <w:r>
            <w:rPr>
              <w:rFonts w:ascii="仿宋" w:hAnsi="仿宋"/>
            </w:rPr>
            <w:instrText xml:space="preserve"> PAGEREF _Toc72258215 \h </w:instrText>
          </w:r>
          <w:r>
            <w:rPr>
              <w:rFonts w:ascii="仿宋" w:hAnsi="仿宋"/>
            </w:rPr>
            <w:fldChar w:fldCharType="separate"/>
          </w:r>
          <w:r>
            <w:rPr>
              <w:rFonts w:ascii="仿宋" w:hAnsi="仿宋"/>
            </w:rPr>
            <w:t>9</w:t>
          </w:r>
          <w:r>
            <w:rPr>
              <w:rFonts w:ascii="仿宋" w:hAnsi="仿宋"/>
            </w:rPr>
            <w:fldChar w:fldCharType="end"/>
          </w:r>
          <w:r>
            <w:rPr>
              <w:rFonts w:ascii="仿宋" w:hAnsi="仿宋"/>
            </w:rPr>
            <w:fldChar w:fldCharType="end"/>
          </w:r>
        </w:p>
        <w:p w14:paraId="6E9B364C">
          <w:pPr>
            <w:pStyle w:val="10"/>
            <w:rPr>
              <w:rFonts w:ascii="仿宋" w:hAnsi="仿宋" w:cstheme="minorBidi"/>
              <w:sz w:val="21"/>
              <w:szCs w:val="22"/>
            </w:rPr>
          </w:pPr>
          <w:r>
            <w:fldChar w:fldCharType="begin"/>
          </w:r>
          <w:r>
            <w:instrText xml:space="preserve"> HYPERLINK \l "_Toc72258216" </w:instrText>
          </w:r>
          <w:r>
            <w:fldChar w:fldCharType="separate"/>
          </w:r>
          <w:r>
            <w:rPr>
              <w:rStyle w:val="15"/>
              <w:rFonts w:ascii="仿宋" w:hAnsi="仿宋"/>
              <w:bCs/>
            </w:rPr>
            <w:t>（二）调整枢纽布局，提升运输服务品质</w:t>
          </w:r>
          <w:r>
            <w:rPr>
              <w:rFonts w:ascii="仿宋" w:hAnsi="仿宋"/>
            </w:rPr>
            <w:tab/>
          </w:r>
          <w:r>
            <w:rPr>
              <w:rFonts w:ascii="仿宋" w:hAnsi="仿宋"/>
            </w:rPr>
            <w:fldChar w:fldCharType="begin"/>
          </w:r>
          <w:r>
            <w:rPr>
              <w:rFonts w:ascii="仿宋" w:hAnsi="仿宋"/>
            </w:rPr>
            <w:instrText xml:space="preserve"> PAGEREF _Toc72258216 \h </w:instrText>
          </w:r>
          <w:r>
            <w:rPr>
              <w:rFonts w:ascii="仿宋" w:hAnsi="仿宋"/>
            </w:rPr>
            <w:fldChar w:fldCharType="separate"/>
          </w:r>
          <w:r>
            <w:rPr>
              <w:rFonts w:ascii="仿宋" w:hAnsi="仿宋"/>
            </w:rPr>
            <w:t>16</w:t>
          </w:r>
          <w:r>
            <w:rPr>
              <w:rFonts w:ascii="仿宋" w:hAnsi="仿宋"/>
            </w:rPr>
            <w:fldChar w:fldCharType="end"/>
          </w:r>
          <w:r>
            <w:rPr>
              <w:rFonts w:ascii="仿宋" w:hAnsi="仿宋"/>
            </w:rPr>
            <w:fldChar w:fldCharType="end"/>
          </w:r>
        </w:p>
        <w:p w14:paraId="537EEB08">
          <w:pPr>
            <w:pStyle w:val="10"/>
            <w:rPr>
              <w:rFonts w:ascii="仿宋" w:hAnsi="仿宋" w:cstheme="minorBidi"/>
              <w:sz w:val="21"/>
              <w:szCs w:val="22"/>
            </w:rPr>
          </w:pPr>
          <w:r>
            <w:fldChar w:fldCharType="begin"/>
          </w:r>
          <w:r>
            <w:instrText xml:space="preserve"> HYPERLINK \l "_Toc72258217" </w:instrText>
          </w:r>
          <w:r>
            <w:fldChar w:fldCharType="separate"/>
          </w:r>
          <w:r>
            <w:rPr>
              <w:rStyle w:val="15"/>
              <w:rFonts w:ascii="仿宋" w:hAnsi="仿宋"/>
              <w:bCs/>
            </w:rPr>
            <w:t>（三）加强干线公路网建设，提高区域间通道联系</w:t>
          </w:r>
          <w:r>
            <w:rPr>
              <w:rFonts w:ascii="仿宋" w:hAnsi="仿宋"/>
            </w:rPr>
            <w:tab/>
          </w:r>
          <w:r>
            <w:rPr>
              <w:rFonts w:ascii="仿宋" w:hAnsi="仿宋"/>
            </w:rPr>
            <w:fldChar w:fldCharType="begin"/>
          </w:r>
          <w:r>
            <w:rPr>
              <w:rFonts w:ascii="仿宋" w:hAnsi="仿宋"/>
            </w:rPr>
            <w:instrText xml:space="preserve"> PAGEREF _Toc72258217 \h </w:instrText>
          </w:r>
          <w:r>
            <w:rPr>
              <w:rFonts w:ascii="仿宋" w:hAnsi="仿宋"/>
            </w:rPr>
            <w:fldChar w:fldCharType="separate"/>
          </w:r>
          <w:r>
            <w:rPr>
              <w:rFonts w:ascii="仿宋" w:hAnsi="仿宋"/>
            </w:rPr>
            <w:t>22</w:t>
          </w:r>
          <w:r>
            <w:rPr>
              <w:rFonts w:ascii="仿宋" w:hAnsi="仿宋"/>
            </w:rPr>
            <w:fldChar w:fldCharType="end"/>
          </w:r>
          <w:r>
            <w:rPr>
              <w:rFonts w:ascii="仿宋" w:hAnsi="仿宋"/>
            </w:rPr>
            <w:fldChar w:fldCharType="end"/>
          </w:r>
        </w:p>
        <w:p w14:paraId="470B81A0">
          <w:pPr>
            <w:pStyle w:val="10"/>
            <w:rPr>
              <w:rFonts w:ascii="仿宋" w:hAnsi="仿宋" w:cstheme="minorBidi"/>
              <w:sz w:val="21"/>
              <w:szCs w:val="22"/>
            </w:rPr>
          </w:pPr>
          <w:r>
            <w:fldChar w:fldCharType="begin"/>
          </w:r>
          <w:r>
            <w:instrText xml:space="preserve"> HYPERLINK \l "_Toc72258218" </w:instrText>
          </w:r>
          <w:r>
            <w:fldChar w:fldCharType="separate"/>
          </w:r>
          <w:r>
            <w:rPr>
              <w:rStyle w:val="15"/>
              <w:rFonts w:ascii="仿宋" w:hAnsi="仿宋"/>
              <w:bCs/>
            </w:rPr>
            <w:t>（四）加快农村公路改造进程，促进农村经济快速发展</w:t>
          </w:r>
          <w:r>
            <w:rPr>
              <w:rFonts w:ascii="仿宋" w:hAnsi="仿宋"/>
            </w:rPr>
            <w:tab/>
          </w:r>
          <w:r>
            <w:rPr>
              <w:rFonts w:ascii="仿宋" w:hAnsi="仿宋"/>
            </w:rPr>
            <w:fldChar w:fldCharType="begin"/>
          </w:r>
          <w:r>
            <w:rPr>
              <w:rFonts w:ascii="仿宋" w:hAnsi="仿宋"/>
            </w:rPr>
            <w:instrText xml:space="preserve"> PAGEREF _Toc72258218 \h </w:instrText>
          </w:r>
          <w:r>
            <w:rPr>
              <w:rFonts w:ascii="仿宋" w:hAnsi="仿宋"/>
            </w:rPr>
            <w:fldChar w:fldCharType="separate"/>
          </w:r>
          <w:r>
            <w:rPr>
              <w:rFonts w:ascii="仿宋" w:hAnsi="仿宋"/>
            </w:rPr>
            <w:t>27</w:t>
          </w:r>
          <w:r>
            <w:rPr>
              <w:rFonts w:ascii="仿宋" w:hAnsi="仿宋"/>
            </w:rPr>
            <w:fldChar w:fldCharType="end"/>
          </w:r>
          <w:r>
            <w:rPr>
              <w:rFonts w:ascii="仿宋" w:hAnsi="仿宋"/>
            </w:rPr>
            <w:fldChar w:fldCharType="end"/>
          </w:r>
        </w:p>
        <w:p w14:paraId="1F78AA4C">
          <w:pPr>
            <w:pStyle w:val="10"/>
            <w:rPr>
              <w:rFonts w:ascii="仿宋" w:hAnsi="仿宋" w:cstheme="minorBidi"/>
              <w:sz w:val="21"/>
              <w:szCs w:val="22"/>
            </w:rPr>
          </w:pPr>
          <w:r>
            <w:fldChar w:fldCharType="begin"/>
          </w:r>
          <w:r>
            <w:instrText xml:space="preserve"> HYPERLINK \l "_Toc72258219" </w:instrText>
          </w:r>
          <w:r>
            <w:fldChar w:fldCharType="separate"/>
          </w:r>
          <w:r>
            <w:rPr>
              <w:rStyle w:val="15"/>
              <w:rFonts w:ascii="仿宋" w:hAnsi="仿宋"/>
              <w:bCs/>
            </w:rPr>
            <w:t>（五）完善水路运输体系，促进航运发展</w:t>
          </w:r>
          <w:r>
            <w:rPr>
              <w:rFonts w:ascii="仿宋" w:hAnsi="仿宋"/>
            </w:rPr>
            <w:tab/>
          </w:r>
          <w:r>
            <w:rPr>
              <w:rFonts w:ascii="仿宋" w:hAnsi="仿宋"/>
            </w:rPr>
            <w:fldChar w:fldCharType="begin"/>
          </w:r>
          <w:r>
            <w:rPr>
              <w:rFonts w:ascii="仿宋" w:hAnsi="仿宋"/>
            </w:rPr>
            <w:instrText xml:space="preserve"> PAGEREF _Toc72258219 \h </w:instrText>
          </w:r>
          <w:r>
            <w:rPr>
              <w:rFonts w:ascii="仿宋" w:hAnsi="仿宋"/>
            </w:rPr>
            <w:fldChar w:fldCharType="separate"/>
          </w:r>
          <w:r>
            <w:rPr>
              <w:rFonts w:ascii="仿宋" w:hAnsi="仿宋"/>
            </w:rPr>
            <w:t>27</w:t>
          </w:r>
          <w:r>
            <w:rPr>
              <w:rFonts w:ascii="仿宋" w:hAnsi="仿宋"/>
            </w:rPr>
            <w:fldChar w:fldCharType="end"/>
          </w:r>
          <w:r>
            <w:rPr>
              <w:rFonts w:ascii="仿宋" w:hAnsi="仿宋"/>
            </w:rPr>
            <w:fldChar w:fldCharType="end"/>
          </w:r>
        </w:p>
        <w:p w14:paraId="7329F0E9">
          <w:pPr>
            <w:pStyle w:val="10"/>
            <w:rPr>
              <w:rFonts w:ascii="仿宋" w:hAnsi="仿宋" w:cstheme="minorBidi"/>
              <w:sz w:val="21"/>
              <w:szCs w:val="22"/>
            </w:rPr>
          </w:pPr>
          <w:r>
            <w:fldChar w:fldCharType="begin"/>
          </w:r>
          <w:r>
            <w:instrText xml:space="preserve"> HYPERLINK \l "_Toc72258220" </w:instrText>
          </w:r>
          <w:r>
            <w:fldChar w:fldCharType="separate"/>
          </w:r>
          <w:r>
            <w:rPr>
              <w:rStyle w:val="15"/>
              <w:rFonts w:ascii="仿宋" w:hAnsi="仿宋"/>
              <w:bCs/>
            </w:rPr>
            <w:t>（六）抓好铁路建设，促进区域协调</w:t>
          </w:r>
          <w:r>
            <w:rPr>
              <w:rFonts w:ascii="仿宋" w:hAnsi="仿宋"/>
            </w:rPr>
            <w:tab/>
          </w:r>
          <w:r>
            <w:rPr>
              <w:rFonts w:ascii="仿宋" w:hAnsi="仿宋"/>
            </w:rPr>
            <w:fldChar w:fldCharType="begin"/>
          </w:r>
          <w:r>
            <w:rPr>
              <w:rFonts w:ascii="仿宋" w:hAnsi="仿宋"/>
            </w:rPr>
            <w:instrText xml:space="preserve"> PAGEREF _Toc72258220 \h </w:instrText>
          </w:r>
          <w:r>
            <w:rPr>
              <w:rFonts w:ascii="仿宋" w:hAnsi="仿宋"/>
            </w:rPr>
            <w:fldChar w:fldCharType="separate"/>
          </w:r>
          <w:r>
            <w:rPr>
              <w:rFonts w:ascii="仿宋" w:hAnsi="仿宋"/>
            </w:rPr>
            <w:t>29</w:t>
          </w:r>
          <w:r>
            <w:rPr>
              <w:rFonts w:ascii="仿宋" w:hAnsi="仿宋"/>
            </w:rPr>
            <w:fldChar w:fldCharType="end"/>
          </w:r>
          <w:r>
            <w:rPr>
              <w:rFonts w:ascii="仿宋" w:hAnsi="仿宋"/>
            </w:rPr>
            <w:fldChar w:fldCharType="end"/>
          </w:r>
        </w:p>
        <w:p w14:paraId="2B0C098A">
          <w:pPr>
            <w:pStyle w:val="10"/>
            <w:rPr>
              <w:rFonts w:ascii="仿宋" w:hAnsi="仿宋" w:cstheme="minorBidi"/>
              <w:sz w:val="21"/>
              <w:szCs w:val="22"/>
            </w:rPr>
          </w:pPr>
          <w:r>
            <w:fldChar w:fldCharType="begin"/>
          </w:r>
          <w:r>
            <w:instrText xml:space="preserve"> HYPERLINK \l "_Toc72258221" </w:instrText>
          </w:r>
          <w:r>
            <w:fldChar w:fldCharType="separate"/>
          </w:r>
          <w:r>
            <w:rPr>
              <w:rStyle w:val="15"/>
              <w:rFonts w:ascii="仿宋" w:hAnsi="仿宋"/>
              <w:bCs/>
            </w:rPr>
            <w:t>（七）推进港口设施加速建设、加大集疏运体系建设</w:t>
          </w:r>
          <w:r>
            <w:rPr>
              <w:rFonts w:ascii="仿宋" w:hAnsi="仿宋"/>
            </w:rPr>
            <w:tab/>
          </w:r>
          <w:r>
            <w:rPr>
              <w:rFonts w:ascii="仿宋" w:hAnsi="仿宋"/>
            </w:rPr>
            <w:fldChar w:fldCharType="begin"/>
          </w:r>
          <w:r>
            <w:rPr>
              <w:rFonts w:ascii="仿宋" w:hAnsi="仿宋"/>
            </w:rPr>
            <w:instrText xml:space="preserve"> PAGEREF _Toc72258221 \h </w:instrText>
          </w:r>
          <w:r>
            <w:rPr>
              <w:rFonts w:ascii="仿宋" w:hAnsi="仿宋"/>
            </w:rPr>
            <w:fldChar w:fldCharType="separate"/>
          </w:r>
          <w:r>
            <w:rPr>
              <w:rFonts w:ascii="仿宋" w:hAnsi="仿宋"/>
            </w:rPr>
            <w:t>30</w:t>
          </w:r>
          <w:r>
            <w:rPr>
              <w:rFonts w:ascii="仿宋" w:hAnsi="仿宋"/>
            </w:rPr>
            <w:fldChar w:fldCharType="end"/>
          </w:r>
          <w:r>
            <w:rPr>
              <w:rFonts w:ascii="仿宋" w:hAnsi="仿宋"/>
            </w:rPr>
            <w:fldChar w:fldCharType="end"/>
          </w:r>
        </w:p>
        <w:p w14:paraId="07D6C662">
          <w:pPr>
            <w:pStyle w:val="10"/>
            <w:rPr>
              <w:rFonts w:ascii="仿宋" w:hAnsi="仿宋" w:cstheme="minorBidi"/>
              <w:sz w:val="21"/>
              <w:szCs w:val="22"/>
            </w:rPr>
          </w:pPr>
          <w:r>
            <w:fldChar w:fldCharType="begin"/>
          </w:r>
          <w:r>
            <w:instrText xml:space="preserve"> HYPERLINK \l "_Toc72258222" </w:instrText>
          </w:r>
          <w:r>
            <w:fldChar w:fldCharType="separate"/>
          </w:r>
          <w:r>
            <w:rPr>
              <w:rStyle w:val="15"/>
              <w:rFonts w:ascii="仿宋" w:hAnsi="仿宋"/>
              <w:bCs/>
            </w:rPr>
            <w:t>（八）智慧交通规划方案</w:t>
          </w:r>
          <w:r>
            <w:rPr>
              <w:rFonts w:ascii="仿宋" w:hAnsi="仿宋"/>
            </w:rPr>
            <w:tab/>
          </w:r>
          <w:r>
            <w:rPr>
              <w:rFonts w:ascii="仿宋" w:hAnsi="仿宋"/>
            </w:rPr>
            <w:fldChar w:fldCharType="begin"/>
          </w:r>
          <w:r>
            <w:rPr>
              <w:rFonts w:ascii="仿宋" w:hAnsi="仿宋"/>
            </w:rPr>
            <w:instrText xml:space="preserve"> PAGEREF _Toc72258222 \h </w:instrText>
          </w:r>
          <w:r>
            <w:rPr>
              <w:rFonts w:ascii="仿宋" w:hAnsi="仿宋"/>
            </w:rPr>
            <w:fldChar w:fldCharType="separate"/>
          </w:r>
          <w:r>
            <w:rPr>
              <w:rFonts w:ascii="仿宋" w:hAnsi="仿宋"/>
            </w:rPr>
            <w:t>31</w:t>
          </w:r>
          <w:r>
            <w:rPr>
              <w:rFonts w:ascii="仿宋" w:hAnsi="仿宋"/>
            </w:rPr>
            <w:fldChar w:fldCharType="end"/>
          </w:r>
          <w:r>
            <w:rPr>
              <w:rFonts w:ascii="仿宋" w:hAnsi="仿宋"/>
            </w:rPr>
            <w:fldChar w:fldCharType="end"/>
          </w:r>
        </w:p>
        <w:p w14:paraId="55854982">
          <w:pPr>
            <w:pStyle w:val="9"/>
            <w:rPr>
              <w:rFonts w:ascii="仿宋" w:hAnsi="仿宋" w:cstheme="minorBidi"/>
              <w:sz w:val="21"/>
              <w:szCs w:val="22"/>
            </w:rPr>
          </w:pPr>
          <w:r>
            <w:fldChar w:fldCharType="begin"/>
          </w:r>
          <w:r>
            <w:instrText xml:space="preserve"> HYPERLINK \l "_Toc72258223" </w:instrText>
          </w:r>
          <w:r>
            <w:fldChar w:fldCharType="separate"/>
          </w:r>
          <w:r>
            <w:rPr>
              <w:rStyle w:val="15"/>
              <w:rFonts w:ascii="仿宋" w:hAnsi="仿宋"/>
              <w:b/>
            </w:rPr>
            <w:t>四、路网规划实施方案</w:t>
          </w:r>
          <w:r>
            <w:rPr>
              <w:rFonts w:ascii="仿宋" w:hAnsi="仿宋"/>
            </w:rPr>
            <w:tab/>
          </w:r>
          <w:r>
            <w:rPr>
              <w:rFonts w:ascii="仿宋" w:hAnsi="仿宋"/>
            </w:rPr>
            <w:fldChar w:fldCharType="begin"/>
          </w:r>
          <w:r>
            <w:rPr>
              <w:rFonts w:ascii="仿宋" w:hAnsi="仿宋"/>
            </w:rPr>
            <w:instrText xml:space="preserve"> PAGEREF _Toc72258223 \h </w:instrText>
          </w:r>
          <w:r>
            <w:rPr>
              <w:rFonts w:ascii="仿宋" w:hAnsi="仿宋"/>
            </w:rPr>
            <w:fldChar w:fldCharType="separate"/>
          </w:r>
          <w:r>
            <w:rPr>
              <w:rFonts w:ascii="仿宋" w:hAnsi="仿宋"/>
            </w:rPr>
            <w:t>33</w:t>
          </w:r>
          <w:r>
            <w:rPr>
              <w:rFonts w:ascii="仿宋" w:hAnsi="仿宋"/>
            </w:rPr>
            <w:fldChar w:fldCharType="end"/>
          </w:r>
          <w:r>
            <w:rPr>
              <w:rFonts w:ascii="仿宋" w:hAnsi="仿宋"/>
            </w:rPr>
            <w:fldChar w:fldCharType="end"/>
          </w:r>
        </w:p>
        <w:p w14:paraId="2C8DB361">
          <w:pPr>
            <w:pStyle w:val="9"/>
          </w:pPr>
          <w:r>
            <w:fldChar w:fldCharType="begin"/>
          </w:r>
          <w:r>
            <w:instrText xml:space="preserve"> HYPERLINK \l "_Toc72258224" </w:instrText>
          </w:r>
          <w:r>
            <w:fldChar w:fldCharType="separate"/>
          </w:r>
          <w:r>
            <w:rPr>
              <w:rStyle w:val="15"/>
              <w:rFonts w:ascii="仿宋" w:hAnsi="仿宋"/>
              <w:b/>
            </w:rPr>
            <w:t>五、保障措施</w:t>
          </w:r>
          <w:r>
            <w:rPr>
              <w:rFonts w:ascii="仿宋" w:hAnsi="仿宋"/>
            </w:rPr>
            <w:tab/>
          </w:r>
          <w:r>
            <w:rPr>
              <w:rFonts w:ascii="仿宋" w:hAnsi="仿宋"/>
            </w:rPr>
            <w:fldChar w:fldCharType="begin"/>
          </w:r>
          <w:r>
            <w:rPr>
              <w:rFonts w:ascii="仿宋" w:hAnsi="仿宋"/>
            </w:rPr>
            <w:instrText xml:space="preserve"> PAGEREF _Toc72258224 \h </w:instrText>
          </w:r>
          <w:r>
            <w:rPr>
              <w:rFonts w:ascii="仿宋" w:hAnsi="仿宋"/>
            </w:rPr>
            <w:fldChar w:fldCharType="separate"/>
          </w:r>
          <w:r>
            <w:rPr>
              <w:rFonts w:ascii="仿宋" w:hAnsi="仿宋"/>
            </w:rPr>
            <w:t>38</w:t>
          </w:r>
          <w:r>
            <w:rPr>
              <w:rFonts w:ascii="仿宋" w:hAnsi="仿宋"/>
            </w:rPr>
            <w:fldChar w:fldCharType="end"/>
          </w:r>
          <w:r>
            <w:rPr>
              <w:rFonts w:ascii="仿宋" w:hAnsi="仿宋"/>
            </w:rPr>
            <w:fldChar w:fldCharType="end"/>
          </w:r>
          <w:r>
            <w:rPr>
              <w:rFonts w:ascii="仿宋" w:hAnsi="仿宋"/>
              <w:b/>
              <w:bCs/>
              <w:lang w:val="zh-CN"/>
            </w:rPr>
            <w:fldChar w:fldCharType="end"/>
          </w:r>
        </w:p>
      </w:sdtContent>
    </w:sdt>
    <w:p w14:paraId="18386786">
      <w:pPr>
        <w:pStyle w:val="3"/>
        <w:spacing w:before="0" w:after="0" w:line="360" w:lineRule="auto"/>
        <w:rPr>
          <w:rFonts w:ascii="Times New Roman" w:hAnsi="Times New Roman" w:eastAsia="宋体" w:cs="Times New Roman"/>
          <w:sz w:val="40"/>
          <w:szCs w:val="28"/>
        </w:rPr>
        <w:sectPr>
          <w:headerReference r:id="rId7" w:type="first"/>
          <w:footerReference r:id="rId10" w:type="first"/>
          <w:headerReference r:id="rId5" w:type="default"/>
          <w:footerReference r:id="rId8" w:type="default"/>
          <w:headerReference r:id="rId6" w:type="even"/>
          <w:footerReference r:id="rId9" w:type="even"/>
          <w:pgSz w:w="11906" w:h="16838"/>
          <w:pgMar w:top="1440" w:right="1418" w:bottom="1440" w:left="1418" w:header="851" w:footer="992" w:gutter="0"/>
          <w:pgNumType w:start="1"/>
          <w:cols w:space="425" w:num="1"/>
          <w:docGrid w:type="lines" w:linePitch="312" w:charSpace="0"/>
        </w:sectPr>
      </w:pPr>
    </w:p>
    <w:p w14:paraId="5F6B886D">
      <w:pPr>
        <w:pStyle w:val="3"/>
        <w:spacing w:before="0" w:after="220" w:line="360" w:lineRule="auto"/>
        <w:jc w:val="center"/>
        <w:rPr>
          <w:rFonts w:ascii="Times New Roman" w:hAnsi="Times New Roman" w:eastAsia="黑体" w:cs="Times New Roman"/>
          <w:b w:val="0"/>
          <w:sz w:val="30"/>
          <w:szCs w:val="30"/>
        </w:rPr>
      </w:pPr>
      <w:bookmarkStart w:id="8" w:name="_Toc72258204"/>
      <w:r>
        <w:rPr>
          <w:rFonts w:hint="eastAsia" w:ascii="Times New Roman" w:hAnsi="Times New Roman" w:eastAsia="黑体" w:cs="Times New Roman"/>
          <w:b w:val="0"/>
          <w:sz w:val="30"/>
          <w:szCs w:val="30"/>
        </w:rPr>
        <w:t>前  言</w:t>
      </w:r>
      <w:bookmarkEnd w:id="8"/>
    </w:p>
    <w:p w14:paraId="3B5DA42D">
      <w:pPr>
        <w:ind w:firstLine="480"/>
        <w:rPr>
          <w:rFonts w:ascii="仿宋" w:hAnsi="仿宋"/>
          <w:sz w:val="24"/>
        </w:rPr>
      </w:pPr>
      <w:r>
        <w:rPr>
          <w:rFonts w:hint="eastAsia" w:ascii="仿宋" w:hAnsi="仿宋"/>
          <w:sz w:val="24"/>
        </w:rPr>
        <w:t>“十四五”时期是我国迈向现代化的第一个五年，是为建设现代化交通强国奠定基础的关键时期。对于交通运输发展来说，“十四五”时期是谋划好交通强国的开局时期，也是交通基础设施建设、服务水平提升和行业转型发展的黄金时期。</w:t>
      </w:r>
    </w:p>
    <w:p w14:paraId="12701F61">
      <w:pPr>
        <w:ind w:firstLine="480"/>
        <w:rPr>
          <w:rFonts w:ascii="仿宋" w:hAnsi="仿宋"/>
          <w:sz w:val="24"/>
        </w:rPr>
      </w:pPr>
      <w:r>
        <w:rPr>
          <w:rFonts w:hint="eastAsia" w:ascii="仿宋" w:hAnsi="仿宋"/>
          <w:sz w:val="24"/>
        </w:rPr>
        <w:t>近年来，庄河市委、市政府高度重视交通运输工作，坚持稳中求进总基调，坚持新发展理念，坚持以供给侧结构性改革为主线，坚持以人民为中心，大力支持交通运输高质量发展，基础设施网络规模大幅提升，运输服务保障水平显著，群众出行条件明显改善，为决胜全面建成小康社会、实现社会稳定和长治久安提供了强有力的支撑保障。年，在我国即将实现第一个百年奋斗目标、进入向第二个奋斗的新阶段之际，党的十九大报告将建设交通强国作为建设现代化经济体系的重要内容，赋予了交通运输行业新使命，指明了交通运输发展的新方向。</w:t>
      </w:r>
    </w:p>
    <w:p w14:paraId="72707539">
      <w:pPr>
        <w:ind w:firstLine="480"/>
        <w:rPr>
          <w:rFonts w:ascii="仿宋" w:hAnsi="仿宋"/>
          <w:sz w:val="24"/>
        </w:rPr>
      </w:pPr>
      <w:r>
        <w:rPr>
          <w:rFonts w:hint="eastAsia" w:ascii="仿宋" w:hAnsi="仿宋"/>
          <w:sz w:val="24"/>
        </w:rPr>
        <w:t>本规划旨在深入贯彻落实习近平新时代中国特色社会主义思想，党的十九大和十九届二中、三中、四中</w:t>
      </w:r>
      <w:r>
        <w:rPr>
          <w:rFonts w:hint="eastAsia" w:ascii="仿宋" w:hAnsi="仿宋"/>
          <w:sz w:val="24"/>
          <w:lang w:eastAsia="zh-CN"/>
        </w:rPr>
        <w:t>、</w:t>
      </w:r>
      <w:bookmarkStart w:id="41" w:name="_GoBack"/>
      <w:bookmarkEnd w:id="41"/>
      <w:r>
        <w:rPr>
          <w:rFonts w:hint="eastAsia" w:ascii="仿宋" w:hAnsi="仿宋"/>
          <w:sz w:val="24"/>
        </w:rPr>
        <w:t>五中全会的战略部署，以《交通强国建设纲要</w:t>
      </w:r>
      <w:r>
        <w:rPr>
          <w:rFonts w:hint="eastAsia" w:ascii="仿宋" w:hAnsi="仿宋"/>
          <w:sz w:val="24"/>
          <w:lang w:eastAsia="zh-CN"/>
        </w:rPr>
        <w:t>》《</w:t>
      </w:r>
      <w:r>
        <w:rPr>
          <w:rFonts w:hint="eastAsia" w:ascii="仿宋" w:hAnsi="仿宋"/>
          <w:sz w:val="24"/>
        </w:rPr>
        <w:t>国家综合立体交通网规划纲要》为总揽，以《大连2049城市愿景规划</w:t>
      </w:r>
      <w:r>
        <w:rPr>
          <w:rFonts w:hint="eastAsia" w:ascii="仿宋" w:hAnsi="仿宋"/>
          <w:sz w:val="24"/>
          <w:lang w:eastAsia="zh-CN"/>
        </w:rPr>
        <w:t>》《</w:t>
      </w:r>
      <w:r>
        <w:rPr>
          <w:rFonts w:hint="eastAsia" w:ascii="仿宋" w:hAnsi="仿宋"/>
          <w:sz w:val="24"/>
        </w:rPr>
        <w:t xml:space="preserve">大连市综合交通运输发展“十四五”规划》为纲领，以建设人民满意交通为宗旨，以深化供给侧结构性改革为主线进行编制，是“十四五”期间庄河市综合交通运输发展的总体蓝图，是制定庄河市综合交通运输发展相关政策、行业规划和重点项目建设与投资的基本依据。 </w:t>
      </w:r>
    </w:p>
    <w:p w14:paraId="5F4DF342">
      <w:pPr>
        <w:ind w:firstLine="480"/>
        <w:rPr>
          <w:rFonts w:ascii="仿宋" w:hAnsi="仿宋"/>
          <w:sz w:val="24"/>
        </w:rPr>
      </w:pPr>
      <w:r>
        <w:rPr>
          <w:rFonts w:hint="eastAsia" w:ascii="仿宋" w:hAnsi="仿宋"/>
          <w:sz w:val="24"/>
        </w:rPr>
        <w:t>本规划基年为2020年，规划期为2021</w:t>
      </w:r>
      <w:r>
        <w:rPr>
          <w:rFonts w:hint="eastAsia" w:ascii="仿宋" w:hAnsi="仿宋"/>
          <w:sz w:val="24"/>
          <w:lang w:eastAsia="zh-CN"/>
        </w:rPr>
        <w:t>—</w:t>
      </w:r>
      <w:r>
        <w:rPr>
          <w:rFonts w:hint="eastAsia" w:ascii="仿宋" w:hAnsi="仿宋"/>
          <w:sz w:val="24"/>
        </w:rPr>
        <w:t>2025年。</w:t>
      </w:r>
    </w:p>
    <w:p w14:paraId="370C8525">
      <w:pPr>
        <w:pStyle w:val="3"/>
        <w:spacing w:before="0" w:after="220" w:line="360" w:lineRule="auto"/>
        <w:jc w:val="left"/>
        <w:rPr>
          <w:rFonts w:ascii="Times New Roman" w:hAnsi="Times New Roman" w:eastAsia="黑体" w:cs="Times New Roman"/>
          <w:b w:val="0"/>
          <w:sz w:val="30"/>
          <w:szCs w:val="30"/>
        </w:rPr>
      </w:pPr>
      <w:r>
        <w:rPr>
          <w:rFonts w:ascii="Times New Roman" w:hAnsi="Times New Roman" w:eastAsia="黑体" w:cs="Times New Roman"/>
          <w:b w:val="0"/>
          <w:sz w:val="30"/>
          <w:szCs w:val="30"/>
        </w:rPr>
        <w:br w:type="page"/>
      </w:r>
    </w:p>
    <w:p w14:paraId="2E3E54D3">
      <w:pPr>
        <w:pStyle w:val="3"/>
        <w:spacing w:before="0" w:after="220" w:line="360" w:lineRule="auto"/>
        <w:jc w:val="left"/>
        <w:rPr>
          <w:rFonts w:ascii="Times New Roman" w:hAnsi="Times New Roman" w:eastAsia="黑体" w:cs="Times New Roman"/>
          <w:b w:val="0"/>
          <w:sz w:val="30"/>
          <w:szCs w:val="30"/>
        </w:rPr>
      </w:pPr>
    </w:p>
    <w:p w14:paraId="52A0EF4E">
      <w:pPr>
        <w:pStyle w:val="3"/>
        <w:spacing w:before="0" w:after="220" w:line="360" w:lineRule="auto"/>
        <w:jc w:val="left"/>
        <w:rPr>
          <w:rFonts w:ascii="Times New Roman" w:hAnsi="Times New Roman" w:eastAsia="黑体" w:cs="Times New Roman"/>
          <w:b w:val="0"/>
          <w:sz w:val="30"/>
          <w:szCs w:val="30"/>
        </w:rPr>
      </w:pPr>
      <w:bookmarkStart w:id="9" w:name="_Toc72258205"/>
      <w:r>
        <w:rPr>
          <w:rFonts w:hint="eastAsia" w:ascii="Times New Roman" w:hAnsi="Times New Roman" w:eastAsia="黑体" w:cs="Times New Roman"/>
          <w:b w:val="0"/>
          <w:sz w:val="30"/>
          <w:szCs w:val="30"/>
        </w:rPr>
        <w:t>一、“</w:t>
      </w:r>
      <w:r>
        <w:rPr>
          <w:rFonts w:ascii="Times New Roman" w:hAnsi="Times New Roman" w:eastAsia="黑体" w:cs="Times New Roman"/>
          <w:b w:val="0"/>
          <w:sz w:val="30"/>
          <w:szCs w:val="30"/>
        </w:rPr>
        <w:t>十三五</w:t>
      </w:r>
      <w:r>
        <w:rPr>
          <w:rFonts w:hint="eastAsia" w:ascii="Times New Roman" w:hAnsi="Times New Roman" w:eastAsia="黑体" w:cs="Times New Roman"/>
          <w:b w:val="0"/>
          <w:sz w:val="30"/>
          <w:szCs w:val="30"/>
        </w:rPr>
        <w:t>”</w:t>
      </w:r>
      <w:r>
        <w:rPr>
          <w:rFonts w:ascii="Times New Roman" w:hAnsi="Times New Roman" w:eastAsia="黑体" w:cs="Times New Roman"/>
          <w:b w:val="0"/>
          <w:sz w:val="30"/>
          <w:szCs w:val="30"/>
        </w:rPr>
        <w:t>回顾</w:t>
      </w:r>
      <w:bookmarkEnd w:id="9"/>
    </w:p>
    <w:p w14:paraId="03096379">
      <w:pPr>
        <w:pStyle w:val="4"/>
        <w:spacing w:before="156" w:beforeLines="50" w:after="0" w:line="360" w:lineRule="auto"/>
        <w:ind w:firstLine="0" w:firstLineChars="0"/>
        <w:rPr>
          <w:rFonts w:ascii="Times New Roman" w:hAnsi="Times New Roman"/>
          <w:b w:val="0"/>
          <w:bCs/>
          <w:sz w:val="28"/>
          <w:szCs w:val="28"/>
        </w:rPr>
      </w:pPr>
      <w:bookmarkStart w:id="10" w:name="_Toc72258206"/>
      <w:r>
        <w:rPr>
          <w:rFonts w:ascii="Times New Roman" w:hAnsi="Times New Roman"/>
          <w:b w:val="0"/>
          <w:bCs/>
          <w:sz w:val="28"/>
          <w:szCs w:val="28"/>
        </w:rPr>
        <w:t>（一）“十三五”期间交通运输工作取得的成就</w:t>
      </w:r>
      <w:bookmarkEnd w:id="10"/>
    </w:p>
    <w:p w14:paraId="1A39CE29">
      <w:pPr>
        <w:ind w:firstLine="480"/>
        <w:rPr>
          <w:rFonts w:ascii="仿宋" w:hAnsi="仿宋"/>
          <w:sz w:val="24"/>
        </w:rPr>
      </w:pPr>
      <w:r>
        <w:rPr>
          <w:rFonts w:ascii="仿宋" w:hAnsi="仿宋"/>
          <w:sz w:val="24"/>
        </w:rPr>
        <w:t>“十三五”以来，在庄河市委、市政府的领导下，以及省委、市委的大力支持下，全面推进“实力庄河、精致庄河、美丽庄河、活力庄河、幸福庄河、和谐庄河”建设，助力打造高品质的健康城市，积极有效推进交通运输建设管理各项工作，为全市经济社会发展提供了重要支撑。</w:t>
      </w:r>
    </w:p>
    <w:p w14:paraId="36A6AD06">
      <w:pPr>
        <w:ind w:firstLine="482"/>
        <w:rPr>
          <w:rFonts w:ascii="仿宋" w:hAnsi="仿宋"/>
          <w:b/>
          <w:sz w:val="24"/>
        </w:rPr>
      </w:pPr>
      <w:r>
        <w:rPr>
          <w:rFonts w:ascii="仿宋" w:hAnsi="仿宋"/>
          <w:b/>
          <w:sz w:val="24"/>
        </w:rPr>
        <w:t>1. 综合交通网络不断完善</w:t>
      </w:r>
    </w:p>
    <w:p w14:paraId="56D84DE1">
      <w:pPr>
        <w:ind w:firstLine="482"/>
        <w:rPr>
          <w:rFonts w:ascii="仿宋" w:hAnsi="仿宋"/>
          <w:b/>
          <w:sz w:val="24"/>
        </w:rPr>
      </w:pPr>
      <w:r>
        <w:rPr>
          <w:rFonts w:hint="eastAsia" w:ascii="仿宋" w:hAnsi="仿宋"/>
          <w:b/>
          <w:sz w:val="24"/>
        </w:rPr>
        <w:t>（1）</w:t>
      </w:r>
      <w:r>
        <w:rPr>
          <w:rFonts w:ascii="仿宋" w:hAnsi="仿宋"/>
          <w:b/>
          <w:sz w:val="24"/>
        </w:rPr>
        <w:t>完善运输节点布局，促进交通网络完善。</w:t>
      </w:r>
    </w:p>
    <w:p w14:paraId="37528C2C">
      <w:pPr>
        <w:ind w:firstLine="482"/>
        <w:rPr>
          <w:rFonts w:ascii="仿宋" w:hAnsi="仿宋"/>
          <w:sz w:val="24"/>
        </w:rPr>
      </w:pPr>
      <w:r>
        <w:rPr>
          <w:rFonts w:ascii="仿宋" w:hAnsi="仿宋"/>
          <w:b/>
          <w:sz w:val="24"/>
        </w:rPr>
        <w:t>一是庄河市综合交通枢纽项目</w:t>
      </w:r>
      <w:r>
        <w:rPr>
          <w:rFonts w:ascii="仿宋" w:hAnsi="仿宋"/>
          <w:sz w:val="24"/>
        </w:rPr>
        <w:t>。该项目于“十三五”期间开工建设，总投资约5.3亿元。主要由场站部分和配套路网两部分组成。配套路网项目全长4.81公里，总投资2.3亿元，目前已全部建成竣工通车。场站项目总投资3亿元，于2015年10月开工建设，用地面积15.9万平方米，建筑面积为1.8万平方米。</w:t>
      </w:r>
    </w:p>
    <w:p w14:paraId="28A18FAA">
      <w:pPr>
        <w:ind w:firstLine="482"/>
        <w:rPr>
          <w:rFonts w:ascii="仿宋" w:hAnsi="仿宋"/>
          <w:sz w:val="24"/>
        </w:rPr>
      </w:pPr>
      <w:r>
        <w:rPr>
          <w:rFonts w:ascii="仿宋" w:hAnsi="仿宋"/>
          <w:b/>
          <w:sz w:val="24"/>
        </w:rPr>
        <w:t>二是庄河港建设项目</w:t>
      </w:r>
      <w:r>
        <w:rPr>
          <w:rFonts w:ascii="仿宋" w:hAnsi="仿宋"/>
          <w:sz w:val="24"/>
        </w:rPr>
        <w:t>。“十三五”期间，庄河港二期建设取得较大进展，201#-204#泊位建成投入使用，庄河港冷链物流一期建成投入运营；其他在建陆岛运输和生产性泊位的工程建设进度均完成80%以上。</w:t>
      </w:r>
    </w:p>
    <w:p w14:paraId="33489D84">
      <w:pPr>
        <w:ind w:firstLine="482"/>
        <w:rPr>
          <w:rFonts w:ascii="仿宋" w:hAnsi="仿宋"/>
          <w:sz w:val="24"/>
        </w:rPr>
      </w:pPr>
      <w:r>
        <w:rPr>
          <w:rFonts w:ascii="仿宋" w:hAnsi="仿宋"/>
          <w:b/>
          <w:sz w:val="24"/>
        </w:rPr>
        <w:t>三是农村公路驿站建设项目</w:t>
      </w:r>
      <w:r>
        <w:rPr>
          <w:rFonts w:ascii="仿宋" w:hAnsi="仿宋"/>
          <w:sz w:val="24"/>
        </w:rPr>
        <w:t>。按照交通原则，目前共建设了3处农村公路停车驿站和52个候车亭，有效提升了群众的幸福感和获得感。</w:t>
      </w:r>
    </w:p>
    <w:p w14:paraId="3EF6F24E">
      <w:pPr>
        <w:ind w:firstLine="482"/>
        <w:rPr>
          <w:rFonts w:ascii="仿宋" w:hAnsi="仿宋"/>
          <w:b/>
          <w:sz w:val="24"/>
        </w:rPr>
      </w:pPr>
      <w:r>
        <w:rPr>
          <w:rFonts w:hint="eastAsia" w:ascii="仿宋" w:hAnsi="仿宋"/>
          <w:b/>
          <w:sz w:val="24"/>
        </w:rPr>
        <w:t>（2）</w:t>
      </w:r>
      <w:r>
        <w:rPr>
          <w:rFonts w:ascii="仿宋" w:hAnsi="仿宋"/>
          <w:b/>
          <w:sz w:val="24"/>
        </w:rPr>
        <w:t>完善节点之间的连接，加大交通网络辐射范围。</w:t>
      </w:r>
    </w:p>
    <w:p w14:paraId="630556AD">
      <w:pPr>
        <w:ind w:firstLine="482"/>
        <w:rPr>
          <w:rFonts w:ascii="仿宋" w:hAnsi="仿宋"/>
          <w:sz w:val="24"/>
        </w:rPr>
      </w:pPr>
      <w:r>
        <w:rPr>
          <w:rFonts w:ascii="仿宋" w:hAnsi="仿宋"/>
          <w:b/>
          <w:sz w:val="24"/>
        </w:rPr>
        <w:t>一是情况。</w:t>
      </w:r>
      <w:r>
        <w:rPr>
          <w:rFonts w:ascii="仿宋" w:hAnsi="仿宋"/>
          <w:sz w:val="24"/>
        </w:rPr>
        <w:t>“十三五”期间，先后打通鲍马大桥、建设大街东延、经七路、中环路等9条断头路，取得了历史性突破。通过拓通改造，彻底破解了制约城市发展的瓶颈问题。</w:t>
      </w:r>
    </w:p>
    <w:p w14:paraId="17C7B224">
      <w:pPr>
        <w:ind w:firstLine="482"/>
        <w:rPr>
          <w:rFonts w:ascii="仿宋" w:hAnsi="仿宋"/>
          <w:sz w:val="24"/>
        </w:rPr>
      </w:pPr>
      <w:r>
        <w:rPr>
          <w:rFonts w:ascii="仿宋" w:hAnsi="仿宋"/>
          <w:b/>
          <w:sz w:val="24"/>
        </w:rPr>
        <w:t>二是公路建设成果喜人</w:t>
      </w:r>
      <w:r>
        <w:rPr>
          <w:rFonts w:ascii="仿宋" w:hAnsi="仿宋"/>
          <w:sz w:val="24"/>
        </w:rPr>
        <w:t>。“十三五”期间，庄河市国、省干线公路建设项目累计18项，共计248.702公里，项目总投资6.3亿元；乡村级公路新建项目共计1001.887公里，项目总投资7.7亿元，农村公路维修改造项目共计672.399公里，项目总投资4.1亿元</w:t>
      </w:r>
      <w:r>
        <w:rPr>
          <w:rFonts w:hint="eastAsia" w:ascii="仿宋" w:hAnsi="仿宋"/>
          <w:sz w:val="24"/>
        </w:rPr>
        <w:t>。</w:t>
      </w:r>
      <w:r>
        <w:rPr>
          <w:rFonts w:ascii="仿宋" w:hAnsi="仿宋"/>
          <w:sz w:val="24"/>
        </w:rPr>
        <w:t>2019年，成功获评“四好农村路”全国示范县荣誉称号。道路养护开拓创新。草养路肩、边坡软覆盖经验推广；机械化养护作业效率不断提升，自行研制的融雪剂撒布装置；“十三五”期间，完成公路整修1743.573公里，五年完成绿化里程708.857公里，水毁恢复919处。</w:t>
      </w:r>
    </w:p>
    <w:p w14:paraId="03CF9EBC">
      <w:pPr>
        <w:ind w:firstLine="482"/>
        <w:rPr>
          <w:rFonts w:ascii="仿宋" w:hAnsi="仿宋"/>
          <w:sz w:val="24"/>
        </w:rPr>
      </w:pPr>
      <w:r>
        <w:rPr>
          <w:rFonts w:ascii="仿宋" w:hAnsi="仿宋"/>
          <w:b/>
          <w:sz w:val="24"/>
        </w:rPr>
        <w:t>三是城市道路建设情况</w:t>
      </w:r>
      <w:r>
        <w:rPr>
          <w:rFonts w:ascii="仿宋" w:hAnsi="仿宋"/>
          <w:sz w:val="24"/>
        </w:rPr>
        <w:t>。新建城市道路9条，城市路网更加完善，南城区城市组团向西向东全面展开</w:t>
      </w:r>
      <w:r>
        <w:rPr>
          <w:rFonts w:hint="eastAsia" w:ascii="仿宋" w:hAnsi="仿宋"/>
          <w:sz w:val="24"/>
        </w:rPr>
        <w:t>。</w:t>
      </w:r>
    </w:p>
    <w:p w14:paraId="4F09343D">
      <w:pPr>
        <w:ind w:firstLine="482"/>
        <w:rPr>
          <w:rFonts w:ascii="仿宋" w:hAnsi="仿宋"/>
          <w:b/>
          <w:sz w:val="24"/>
        </w:rPr>
      </w:pPr>
      <w:r>
        <w:rPr>
          <w:rFonts w:ascii="仿宋" w:hAnsi="仿宋"/>
          <w:b/>
          <w:sz w:val="24"/>
        </w:rPr>
        <w:t>2. 运输服务质量稳步提高</w:t>
      </w:r>
    </w:p>
    <w:p w14:paraId="2F25ECDD">
      <w:pPr>
        <w:ind w:firstLine="480"/>
        <w:rPr>
          <w:rFonts w:ascii="仿宋" w:hAnsi="仿宋"/>
          <w:sz w:val="24"/>
        </w:rPr>
      </w:pPr>
      <w:r>
        <w:rPr>
          <w:rFonts w:ascii="仿宋" w:hAnsi="仿宋"/>
          <w:sz w:val="24"/>
        </w:rPr>
        <w:t>“十三五”期间，全市推动交通运输发展方式转变，客货运输服务质量得到很大提升，取得了良好的社会反响。</w:t>
      </w:r>
      <w:r>
        <w:rPr>
          <w:rFonts w:ascii="仿宋" w:hAnsi="仿宋"/>
          <w:b/>
          <w:sz w:val="24"/>
        </w:rPr>
        <w:t>一是客运服务发展稳定</w:t>
      </w:r>
      <w:r>
        <w:rPr>
          <w:rFonts w:ascii="仿宋" w:hAnsi="仿宋"/>
          <w:sz w:val="24"/>
        </w:rPr>
        <w:t>。</w:t>
      </w:r>
      <w:r>
        <w:rPr>
          <w:rFonts w:hint="eastAsia" w:ascii="仿宋" w:hAnsi="仿宋"/>
          <w:sz w:val="24"/>
          <w:lang w:eastAsia="zh-CN"/>
        </w:rPr>
        <w:t>2016—</w:t>
      </w:r>
      <w:r>
        <w:rPr>
          <w:rFonts w:ascii="仿宋" w:hAnsi="仿宋"/>
          <w:sz w:val="24"/>
        </w:rPr>
        <w:t>2019年</w:t>
      </w:r>
      <w:r>
        <w:rPr>
          <w:rFonts w:hint="eastAsia" w:ascii="仿宋" w:hAnsi="仿宋"/>
          <w:sz w:val="24"/>
          <w:lang w:eastAsia="zh-CN"/>
        </w:rPr>
        <w:t>，总体</w:t>
      </w:r>
      <w:r>
        <w:rPr>
          <w:rFonts w:ascii="仿宋" w:hAnsi="仿宋"/>
          <w:sz w:val="24"/>
        </w:rPr>
        <w:t>客运量（包括铁路、公路、水运）总体趋于平缓。</w:t>
      </w:r>
      <w:r>
        <w:rPr>
          <w:rFonts w:ascii="仿宋" w:hAnsi="仿宋"/>
          <w:b/>
          <w:sz w:val="24"/>
        </w:rPr>
        <w:t>二是货运服务发展成效显著</w:t>
      </w:r>
      <w:r>
        <w:rPr>
          <w:rFonts w:ascii="仿宋" w:hAnsi="仿宋"/>
          <w:sz w:val="24"/>
        </w:rPr>
        <w:t>。</w:t>
      </w:r>
      <w:r>
        <w:rPr>
          <w:rFonts w:hint="eastAsia" w:ascii="仿宋" w:hAnsi="仿宋"/>
          <w:sz w:val="24"/>
          <w:lang w:eastAsia="zh-CN"/>
        </w:rPr>
        <w:t>2016—</w:t>
      </w:r>
      <w:r>
        <w:rPr>
          <w:rFonts w:ascii="仿宋" w:hAnsi="仿宋"/>
          <w:sz w:val="24"/>
        </w:rPr>
        <w:t>2019年</w:t>
      </w:r>
      <w:r>
        <w:rPr>
          <w:rFonts w:hint="eastAsia" w:ascii="仿宋" w:hAnsi="仿宋"/>
          <w:sz w:val="24"/>
          <w:lang w:eastAsia="zh-CN"/>
        </w:rPr>
        <w:t>，总体</w:t>
      </w:r>
      <w:r>
        <w:rPr>
          <w:rFonts w:ascii="仿宋" w:hAnsi="仿宋"/>
          <w:sz w:val="24"/>
        </w:rPr>
        <w:t>货运量（包括铁路、公路、水运）</w:t>
      </w:r>
      <w:r>
        <w:rPr>
          <w:rFonts w:hint="eastAsia" w:ascii="仿宋" w:hAnsi="仿宋"/>
          <w:sz w:val="24"/>
          <w:lang w:eastAsia="zh-CN"/>
        </w:rPr>
        <w:t>中</w:t>
      </w:r>
      <w:r>
        <w:rPr>
          <w:rFonts w:ascii="仿宋" w:hAnsi="仿宋"/>
          <w:sz w:val="24"/>
        </w:rPr>
        <w:t>，水运与</w:t>
      </w:r>
      <w:r>
        <w:rPr>
          <w:rFonts w:hint="eastAsia" w:ascii="仿宋" w:hAnsi="仿宋"/>
          <w:sz w:val="24"/>
          <w:lang w:eastAsia="zh-CN"/>
        </w:rPr>
        <w:t>公路运输量</w:t>
      </w:r>
      <w:r>
        <w:rPr>
          <w:rFonts w:ascii="仿宋" w:hAnsi="仿宋"/>
          <w:sz w:val="24"/>
        </w:rPr>
        <w:t>逐年上升。</w:t>
      </w:r>
      <w:r>
        <w:rPr>
          <w:rFonts w:ascii="仿宋" w:hAnsi="仿宋"/>
          <w:b/>
          <w:sz w:val="24"/>
        </w:rPr>
        <w:t>三是安全管理有的放矢</w:t>
      </w:r>
      <w:r>
        <w:rPr>
          <w:rFonts w:ascii="仿宋" w:hAnsi="仿宋"/>
          <w:sz w:val="24"/>
        </w:rPr>
        <w:t>。“十三五”期间，我市不断加大公路危桥改造力度，2018年底，完成了县级以上公路的危桥改造；2019年底，完成了乡村公路的危桥改造。</w:t>
      </w:r>
    </w:p>
    <w:p w14:paraId="5CFCB8EB">
      <w:pPr>
        <w:ind w:firstLine="560"/>
        <w:jc w:val="center"/>
        <w:rPr>
          <w:rFonts w:eastAsia="宋体"/>
          <w:szCs w:val="28"/>
        </w:rPr>
      </w:pPr>
      <w:r>
        <w:rPr>
          <w:rFonts w:eastAsia="宋体"/>
          <w:szCs w:val="28"/>
        </w:rPr>
        <w:drawing>
          <wp:inline distT="0" distB="0" distL="0" distR="0">
            <wp:extent cx="3620135" cy="217551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626373" cy="2179842"/>
                    </a:xfrm>
                    <a:prstGeom prst="rect">
                      <a:avLst/>
                    </a:prstGeom>
                    <a:noFill/>
                  </pic:spPr>
                </pic:pic>
              </a:graphicData>
            </a:graphic>
          </wp:inline>
        </w:drawing>
      </w:r>
    </w:p>
    <w:p w14:paraId="664EF905">
      <w:pPr>
        <w:ind w:firstLine="420"/>
        <w:jc w:val="center"/>
        <w:rPr>
          <w:rFonts w:ascii="宋体" w:hAnsi="宋体" w:eastAsia="宋体"/>
          <w:bCs/>
          <w:sz w:val="21"/>
          <w:szCs w:val="21"/>
        </w:rPr>
      </w:pPr>
      <w:r>
        <w:rPr>
          <w:rFonts w:ascii="宋体" w:hAnsi="宋体" w:eastAsia="宋体"/>
          <w:bCs/>
          <w:sz w:val="21"/>
          <w:szCs w:val="21"/>
        </w:rPr>
        <w:t>图1  2016</w:t>
      </w:r>
      <w:r>
        <w:rPr>
          <w:rFonts w:hint="eastAsia" w:ascii="宋体" w:hAnsi="宋体" w:eastAsia="宋体"/>
          <w:bCs/>
          <w:sz w:val="21"/>
          <w:szCs w:val="21"/>
          <w:lang w:eastAsia="zh-CN"/>
        </w:rPr>
        <w:t>—</w:t>
      </w:r>
      <w:r>
        <w:rPr>
          <w:rFonts w:ascii="宋体" w:hAnsi="宋体" w:eastAsia="宋体"/>
          <w:bCs/>
          <w:sz w:val="21"/>
          <w:szCs w:val="21"/>
        </w:rPr>
        <w:t>2019</w:t>
      </w:r>
      <w:r>
        <w:rPr>
          <w:rFonts w:hint="eastAsia" w:ascii="宋体" w:hAnsi="宋体" w:eastAsia="宋体"/>
          <w:bCs/>
          <w:sz w:val="21"/>
          <w:szCs w:val="21"/>
        </w:rPr>
        <w:t>年公路水运</w:t>
      </w:r>
      <w:r>
        <w:rPr>
          <w:rFonts w:ascii="宋体" w:hAnsi="宋体" w:eastAsia="宋体"/>
          <w:bCs/>
          <w:sz w:val="21"/>
          <w:szCs w:val="21"/>
        </w:rPr>
        <w:t>货运量分析</w:t>
      </w:r>
    </w:p>
    <w:p w14:paraId="7EB412FF">
      <w:pPr>
        <w:ind w:firstLine="482"/>
        <w:rPr>
          <w:rFonts w:ascii="仿宋" w:hAnsi="仿宋"/>
          <w:b/>
          <w:sz w:val="24"/>
        </w:rPr>
      </w:pPr>
      <w:r>
        <w:rPr>
          <w:rFonts w:hint="eastAsia" w:ascii="仿宋" w:hAnsi="仿宋"/>
          <w:b/>
          <w:sz w:val="24"/>
          <w:lang w:eastAsia="zh-CN"/>
        </w:rPr>
        <w:t>3.</w:t>
      </w:r>
      <w:r>
        <w:rPr>
          <w:rFonts w:ascii="仿宋" w:hAnsi="仿宋"/>
          <w:b/>
          <w:sz w:val="24"/>
        </w:rPr>
        <w:t>推进交通运输安全工作科学化、智能化管理</w:t>
      </w:r>
    </w:p>
    <w:p w14:paraId="5D49CD33">
      <w:pPr>
        <w:ind w:firstLine="480"/>
        <w:rPr>
          <w:rFonts w:ascii="仿宋" w:hAnsi="仿宋"/>
          <w:sz w:val="24"/>
        </w:rPr>
      </w:pPr>
      <w:r>
        <w:rPr>
          <w:rFonts w:ascii="仿宋" w:hAnsi="仿宋"/>
          <w:sz w:val="24"/>
        </w:rPr>
        <w:t>“十三五”期间，</w:t>
      </w:r>
      <w:r>
        <w:rPr>
          <w:rFonts w:ascii="仿宋" w:hAnsi="仿宋"/>
          <w:b/>
          <w:sz w:val="24"/>
        </w:rPr>
        <w:t>一是不断提高安全工作科学化管理水平</w:t>
      </w:r>
      <w:r>
        <w:rPr>
          <w:rFonts w:ascii="仿宋" w:hAnsi="仿宋"/>
          <w:sz w:val="24"/>
        </w:rPr>
        <w:t>，采用公路智能化系统对公路沿线的安保设施进行检查和管理；</w:t>
      </w:r>
      <w:r>
        <w:rPr>
          <w:rFonts w:ascii="仿宋" w:hAnsi="仿宋"/>
          <w:b/>
          <w:sz w:val="24"/>
        </w:rPr>
        <w:t>二是采用公路治超非现场执法系统</w:t>
      </w:r>
      <w:r>
        <w:rPr>
          <w:rFonts w:ascii="仿宋" w:hAnsi="仿宋"/>
          <w:sz w:val="24"/>
        </w:rPr>
        <w:t>，对超载超限车辆进行24小时不间断监控；</w:t>
      </w:r>
      <w:r>
        <w:rPr>
          <w:rFonts w:ascii="仿宋" w:hAnsi="仿宋"/>
          <w:b/>
          <w:sz w:val="24"/>
        </w:rPr>
        <w:t>三是采用北斗卫星监测系统对公路地质灾害进行监测和预警</w:t>
      </w:r>
      <w:r>
        <w:rPr>
          <w:rFonts w:ascii="仿宋" w:hAnsi="仿宋"/>
          <w:sz w:val="24"/>
        </w:rPr>
        <w:t>；</w:t>
      </w:r>
      <w:r>
        <w:rPr>
          <w:rFonts w:ascii="仿宋" w:hAnsi="仿宋"/>
          <w:b/>
          <w:sz w:val="24"/>
        </w:rPr>
        <w:t>四是采用公交电子站牌等智能化设施设备对城市公共交通</w:t>
      </w:r>
      <w:r>
        <w:rPr>
          <w:rFonts w:hint="eastAsia" w:ascii="仿宋" w:hAnsi="仿宋"/>
          <w:b/>
          <w:sz w:val="24"/>
          <w:lang w:eastAsia="zh-CN"/>
        </w:rPr>
        <w:t>进行监管</w:t>
      </w:r>
      <w:r>
        <w:rPr>
          <w:rFonts w:ascii="仿宋" w:hAnsi="仿宋"/>
          <w:b/>
          <w:sz w:val="24"/>
        </w:rPr>
        <w:t>检测</w:t>
      </w:r>
      <w:r>
        <w:rPr>
          <w:rFonts w:ascii="仿宋" w:hAnsi="仿宋"/>
          <w:sz w:val="24"/>
        </w:rPr>
        <w:t>，为城市居民安全出行提供强有力保障。</w:t>
      </w:r>
    </w:p>
    <w:p w14:paraId="73521470">
      <w:pPr>
        <w:pStyle w:val="4"/>
        <w:spacing w:before="156" w:beforeLines="50" w:after="0" w:line="360" w:lineRule="auto"/>
        <w:ind w:firstLine="0" w:firstLineChars="0"/>
        <w:rPr>
          <w:rFonts w:ascii="Times New Roman" w:hAnsi="Times New Roman"/>
          <w:b w:val="0"/>
          <w:bCs/>
          <w:sz w:val="28"/>
          <w:szCs w:val="28"/>
        </w:rPr>
      </w:pPr>
      <w:bookmarkStart w:id="11" w:name="_Toc72258207"/>
      <w:r>
        <w:rPr>
          <w:rFonts w:ascii="Times New Roman" w:hAnsi="Times New Roman"/>
          <w:b w:val="0"/>
          <w:bCs/>
          <w:sz w:val="28"/>
          <w:szCs w:val="28"/>
        </w:rPr>
        <w:t>（二）交通运输方面存在的问题</w:t>
      </w:r>
      <w:bookmarkEnd w:id="11"/>
    </w:p>
    <w:p w14:paraId="2EE6F0A5">
      <w:pPr>
        <w:ind w:firstLine="480"/>
        <w:rPr>
          <w:rFonts w:ascii="仿宋" w:hAnsi="仿宋"/>
          <w:sz w:val="24"/>
        </w:rPr>
      </w:pPr>
      <w:r>
        <w:rPr>
          <w:rFonts w:ascii="仿宋" w:hAnsi="仿宋"/>
          <w:sz w:val="24"/>
        </w:rPr>
        <w:t>经过“十三五”时期的建设与发展，庄河市综合交通运输发展取得了一定的成效，但与“十四五”经济社会发展要求相比，仍然存在一些突出问题。</w:t>
      </w:r>
    </w:p>
    <w:p w14:paraId="493F0BC2">
      <w:pPr>
        <w:ind w:firstLine="482"/>
        <w:rPr>
          <w:rFonts w:ascii="仿宋" w:hAnsi="仿宋"/>
          <w:b/>
          <w:sz w:val="24"/>
        </w:rPr>
      </w:pPr>
      <w:r>
        <w:rPr>
          <w:rFonts w:hint="eastAsia" w:ascii="仿宋" w:hAnsi="仿宋"/>
          <w:b/>
          <w:sz w:val="24"/>
        </w:rPr>
        <w:t>1</w:t>
      </w:r>
      <w:r>
        <w:rPr>
          <w:rFonts w:ascii="仿宋" w:hAnsi="仿宋"/>
          <w:b/>
          <w:sz w:val="24"/>
        </w:rPr>
        <w:t>. 综合交通网存在结构性矛盾</w:t>
      </w:r>
      <w:r>
        <w:rPr>
          <w:rFonts w:hint="eastAsia" w:ascii="仿宋" w:hAnsi="仿宋"/>
          <w:b/>
          <w:sz w:val="24"/>
        </w:rPr>
        <w:t>。</w:t>
      </w:r>
    </w:p>
    <w:p w14:paraId="6CAAA967">
      <w:pPr>
        <w:ind w:firstLine="480"/>
        <w:rPr>
          <w:rFonts w:ascii="仿宋" w:hAnsi="仿宋"/>
          <w:sz w:val="24"/>
        </w:rPr>
      </w:pPr>
      <w:r>
        <w:rPr>
          <w:rFonts w:ascii="仿宋" w:hAnsi="仿宋"/>
          <w:sz w:val="24"/>
        </w:rPr>
        <w:t>庄河市拥有公路、铁路、水路等多种运输方式，但全市客货运输仍主要依靠公路、水运，枢纽场站发展短板突出。</w:t>
      </w:r>
    </w:p>
    <w:p w14:paraId="16386729">
      <w:pPr>
        <w:ind w:firstLine="482"/>
        <w:rPr>
          <w:rFonts w:ascii="仿宋" w:hAnsi="仿宋"/>
          <w:b/>
          <w:sz w:val="24"/>
        </w:rPr>
      </w:pPr>
      <w:r>
        <w:rPr>
          <w:rFonts w:hint="eastAsia" w:ascii="仿宋" w:hAnsi="仿宋"/>
          <w:b/>
          <w:sz w:val="24"/>
        </w:rPr>
        <w:t>2</w:t>
      </w:r>
      <w:r>
        <w:rPr>
          <w:rFonts w:ascii="仿宋" w:hAnsi="仿宋"/>
          <w:b/>
          <w:sz w:val="24"/>
        </w:rPr>
        <w:t>. 交通网络布局有待进一步优化</w:t>
      </w:r>
      <w:r>
        <w:rPr>
          <w:rFonts w:hint="eastAsia" w:ascii="仿宋" w:hAnsi="仿宋"/>
          <w:b/>
          <w:sz w:val="24"/>
        </w:rPr>
        <w:t>。</w:t>
      </w:r>
    </w:p>
    <w:p w14:paraId="6A31CED9">
      <w:pPr>
        <w:ind w:firstLine="480"/>
        <w:rPr>
          <w:rFonts w:ascii="仿宋" w:hAnsi="仿宋"/>
          <w:sz w:val="24"/>
        </w:rPr>
      </w:pPr>
      <w:r>
        <w:rPr>
          <w:rFonts w:ascii="仿宋" w:hAnsi="仿宋"/>
          <w:sz w:val="24"/>
        </w:rPr>
        <w:t>从对外通道来看，与其他城市的连接不够紧密，如辽阳、瓦房店；从内部交通来看，区域交通条件差异较大，北部交通弱于南部。</w:t>
      </w:r>
    </w:p>
    <w:p w14:paraId="541B3E20">
      <w:pPr>
        <w:ind w:firstLine="482"/>
        <w:rPr>
          <w:rFonts w:ascii="仿宋" w:hAnsi="仿宋"/>
          <w:b/>
          <w:sz w:val="24"/>
        </w:rPr>
      </w:pPr>
      <w:r>
        <w:rPr>
          <w:rFonts w:hint="eastAsia" w:ascii="仿宋" w:hAnsi="仿宋"/>
          <w:b/>
          <w:sz w:val="24"/>
        </w:rPr>
        <w:t>3</w:t>
      </w:r>
      <w:r>
        <w:rPr>
          <w:rFonts w:ascii="仿宋" w:hAnsi="仿宋"/>
          <w:b/>
          <w:sz w:val="24"/>
        </w:rPr>
        <w:t>. 运输服务质量有待提升</w:t>
      </w:r>
      <w:r>
        <w:rPr>
          <w:rFonts w:hint="eastAsia" w:ascii="仿宋" w:hAnsi="仿宋"/>
          <w:b/>
          <w:sz w:val="24"/>
        </w:rPr>
        <w:t>。</w:t>
      </w:r>
    </w:p>
    <w:p w14:paraId="13D9538B">
      <w:pPr>
        <w:ind w:firstLine="480"/>
        <w:rPr>
          <w:rFonts w:ascii="仿宋" w:hAnsi="仿宋"/>
          <w:sz w:val="24"/>
        </w:rPr>
      </w:pPr>
      <w:r>
        <w:rPr>
          <w:rFonts w:ascii="仿宋" w:hAnsi="仿宋"/>
          <w:sz w:val="24"/>
        </w:rPr>
        <w:t>现代物流体系建设难以支撑全市物流运输发展。</w:t>
      </w:r>
    </w:p>
    <w:p w14:paraId="5DF9F51E">
      <w:pPr>
        <w:ind w:firstLine="482"/>
        <w:rPr>
          <w:rFonts w:ascii="仿宋" w:hAnsi="仿宋"/>
          <w:b/>
          <w:sz w:val="24"/>
        </w:rPr>
      </w:pPr>
      <w:r>
        <w:rPr>
          <w:rFonts w:hint="eastAsia" w:ascii="仿宋" w:hAnsi="仿宋"/>
          <w:b/>
          <w:sz w:val="24"/>
        </w:rPr>
        <w:t>4</w:t>
      </w:r>
      <w:r>
        <w:rPr>
          <w:rFonts w:ascii="仿宋" w:hAnsi="仿宋"/>
          <w:b/>
          <w:sz w:val="24"/>
        </w:rPr>
        <w:t>. 智慧交通发展缓慢</w:t>
      </w:r>
      <w:r>
        <w:rPr>
          <w:rFonts w:hint="eastAsia" w:ascii="仿宋" w:hAnsi="仿宋"/>
          <w:b/>
          <w:sz w:val="24"/>
        </w:rPr>
        <w:t>。</w:t>
      </w:r>
    </w:p>
    <w:p w14:paraId="1366C6E1">
      <w:pPr>
        <w:ind w:firstLine="480"/>
        <w:rPr>
          <w:rFonts w:ascii="仿宋" w:hAnsi="仿宋"/>
          <w:sz w:val="24"/>
        </w:rPr>
      </w:pPr>
      <w:r>
        <w:rPr>
          <w:rFonts w:ascii="仿宋" w:hAnsi="仿宋"/>
          <w:sz w:val="24"/>
        </w:rPr>
        <w:t>全市交通信息化建设缺乏顶层设计</w:t>
      </w:r>
      <w:r>
        <w:rPr>
          <w:rFonts w:hint="eastAsia" w:ascii="仿宋" w:hAnsi="仿宋"/>
          <w:sz w:val="24"/>
          <w:lang w:eastAsia="zh-CN"/>
        </w:rPr>
        <w:t>，基础设施</w:t>
      </w:r>
      <w:r>
        <w:rPr>
          <w:rFonts w:ascii="仿宋" w:hAnsi="仿宋"/>
          <w:sz w:val="24"/>
        </w:rPr>
        <w:t>匮乏</w:t>
      </w:r>
      <w:r>
        <w:rPr>
          <w:rFonts w:hint="eastAsia" w:ascii="仿宋" w:hAnsi="仿宋"/>
          <w:sz w:val="24"/>
          <w:lang w:eastAsia="zh-CN"/>
        </w:rPr>
        <w:t>，</w:t>
      </w:r>
      <w:r>
        <w:rPr>
          <w:rFonts w:ascii="仿宋" w:hAnsi="仿宋"/>
          <w:sz w:val="24"/>
        </w:rPr>
        <w:t>部门间信息共享能力较弱。</w:t>
      </w:r>
    </w:p>
    <w:p w14:paraId="68E84EDF">
      <w:pPr>
        <w:pStyle w:val="4"/>
        <w:spacing w:before="156" w:beforeLines="50" w:after="0" w:line="360" w:lineRule="auto"/>
        <w:ind w:firstLine="0" w:firstLineChars="0"/>
        <w:rPr>
          <w:rFonts w:ascii="Times New Roman" w:hAnsi="Times New Roman"/>
          <w:b w:val="0"/>
          <w:bCs/>
          <w:sz w:val="28"/>
          <w:szCs w:val="28"/>
        </w:rPr>
      </w:pPr>
      <w:bookmarkStart w:id="12" w:name="_Toc72258208"/>
      <w:r>
        <w:rPr>
          <w:rFonts w:ascii="Times New Roman" w:hAnsi="Times New Roman"/>
          <w:b w:val="0"/>
          <w:bCs/>
          <w:sz w:val="28"/>
          <w:szCs w:val="28"/>
        </w:rPr>
        <w:t>（三）</w:t>
      </w:r>
      <w:r>
        <w:rPr>
          <w:rFonts w:hint="eastAsia" w:ascii="Times New Roman" w:hAnsi="Times New Roman"/>
          <w:b w:val="0"/>
          <w:bCs/>
          <w:sz w:val="28"/>
          <w:szCs w:val="28"/>
        </w:rPr>
        <w:t>未来发展形势需求</w:t>
      </w:r>
      <w:bookmarkEnd w:id="12"/>
    </w:p>
    <w:p w14:paraId="16DA20D1">
      <w:pPr>
        <w:widowControl/>
        <w:ind w:firstLine="372" w:firstLineChars="155"/>
        <w:jc w:val="left"/>
        <w:rPr>
          <w:rFonts w:ascii="仿宋" w:hAnsi="仿宋" w:cs="仿宋"/>
          <w:color w:val="000000"/>
          <w:kern w:val="0"/>
          <w:sz w:val="24"/>
          <w:lang w:bidi="ar"/>
        </w:rPr>
      </w:pPr>
      <w:r>
        <w:rPr>
          <w:rFonts w:hint="eastAsia" w:ascii="仿宋" w:hAnsi="仿宋" w:cs="仿宋"/>
          <w:color w:val="000000"/>
          <w:kern w:val="0"/>
          <w:sz w:val="24"/>
          <w:lang w:bidi="ar"/>
        </w:rPr>
        <w:t xml:space="preserve">交通运输是国民经济中的基础性、先导性、战略性产业，是重要的服务性行业，交通运输规划历来是国民经济和社会发展“五年规划”的重要组成部分，在编制时往往都作为专项规划来开展。2019年7月30日，交通运输部主持召开“十四五”综合交通运输发展规划编制工作启动会，标志着国家及各省、各地市科学系统谋划未来五年交通发展规划的工作正式开始。在此背景下，交通发展的形势需求主要体现在以下几个方面： </w:t>
      </w:r>
    </w:p>
    <w:p w14:paraId="4929AA32">
      <w:pPr>
        <w:widowControl/>
        <w:ind w:firstLine="373" w:firstLineChars="155"/>
        <w:jc w:val="left"/>
        <w:rPr>
          <w:rFonts w:ascii="仿宋" w:hAnsi="仿宋" w:cs="仿宋"/>
          <w:color w:val="000000"/>
          <w:kern w:val="0"/>
          <w:sz w:val="24"/>
          <w:lang w:bidi="ar"/>
        </w:rPr>
      </w:pPr>
      <w:r>
        <w:rPr>
          <w:rFonts w:hint="eastAsia" w:ascii="仿宋" w:hAnsi="仿宋" w:cs="仿宋"/>
          <w:b/>
          <w:bCs/>
          <w:color w:val="000000"/>
          <w:kern w:val="0"/>
          <w:sz w:val="24"/>
          <w:lang w:bidi="ar"/>
        </w:rPr>
        <w:t>贯彻落实《交通强国建设纲要》，推动交通运输高质量发展，建设人民满意交通。</w:t>
      </w:r>
      <w:r>
        <w:rPr>
          <w:rFonts w:hint="eastAsia" w:ascii="仿宋" w:hAnsi="仿宋" w:cs="仿宋"/>
          <w:color w:val="000000"/>
          <w:kern w:val="0"/>
          <w:sz w:val="24"/>
          <w:lang w:bidi="ar"/>
        </w:rPr>
        <w:t>要求牢牢把握交通“先行官”定位，加快建设现代化高质量综合立体交通网络，统筹公路与铁路及城市交通的协调发展，高水平推进交通强国建设工作，加快建设安全、便捷、高效、绿色、经济的综合交通运输体系。</w:t>
      </w:r>
    </w:p>
    <w:p w14:paraId="5E7329D0">
      <w:pPr>
        <w:widowControl/>
        <w:ind w:firstLine="373" w:firstLineChars="155"/>
        <w:jc w:val="left"/>
        <w:rPr>
          <w:rFonts w:ascii="仿宋" w:hAnsi="仿宋" w:cs="仿宋"/>
          <w:color w:val="000000"/>
          <w:kern w:val="0"/>
          <w:sz w:val="24"/>
          <w:lang w:bidi="ar"/>
        </w:rPr>
      </w:pPr>
      <w:r>
        <w:rPr>
          <w:rFonts w:hint="eastAsia" w:ascii="仿宋" w:hAnsi="仿宋" w:cs="仿宋"/>
          <w:b/>
          <w:bCs/>
          <w:color w:val="000000"/>
          <w:kern w:val="0"/>
          <w:sz w:val="24"/>
          <w:lang w:bidi="ar"/>
        </w:rPr>
        <w:t>推进新型城镇化建设，支撑乡村振兴战略实施。</w:t>
      </w:r>
      <w:r>
        <w:rPr>
          <w:rFonts w:hint="eastAsia" w:ascii="仿宋" w:hAnsi="仿宋" w:cs="仿宋"/>
          <w:color w:val="000000"/>
          <w:kern w:val="0"/>
          <w:sz w:val="24"/>
          <w:lang w:bidi="ar"/>
        </w:rPr>
        <w:t>要求加快城镇化地区交通一体化规划建设，发挥快速干线网对城镇化格局的支撑和引导作用。巩固扶贫</w:t>
      </w:r>
      <w:r>
        <w:rPr>
          <w:rFonts w:hint="eastAsia" w:ascii="仿宋" w:hAnsi="仿宋" w:cs="仿宋"/>
          <w:color w:val="000000"/>
          <w:kern w:val="0"/>
          <w:sz w:val="24"/>
          <w:lang w:eastAsia="zh-CN" w:bidi="ar"/>
        </w:rPr>
        <w:t>脱贫攻坚成果</w:t>
      </w:r>
      <w:r>
        <w:rPr>
          <w:rFonts w:hint="eastAsia" w:ascii="仿宋" w:hAnsi="仿宋" w:cs="仿宋"/>
          <w:color w:val="000000"/>
          <w:kern w:val="0"/>
          <w:sz w:val="24"/>
          <w:lang w:bidi="ar"/>
        </w:rPr>
        <w:t>、推动乡村振兴，要求继续大力支持农村地区的交通建设，提高交通基本公共服务均等化水平。</w:t>
      </w:r>
    </w:p>
    <w:p w14:paraId="0317EEC0">
      <w:pPr>
        <w:widowControl/>
        <w:ind w:firstLine="373" w:firstLineChars="155"/>
        <w:jc w:val="left"/>
        <w:rPr>
          <w:rFonts w:ascii="仿宋" w:hAnsi="仿宋" w:cs="仿宋"/>
          <w:color w:val="000000"/>
          <w:kern w:val="0"/>
          <w:sz w:val="24"/>
          <w:lang w:bidi="ar"/>
        </w:rPr>
      </w:pPr>
      <w:r>
        <w:rPr>
          <w:rFonts w:hint="eastAsia" w:ascii="仿宋" w:hAnsi="仿宋" w:cs="仿宋"/>
          <w:b/>
          <w:bCs/>
          <w:color w:val="000000"/>
          <w:kern w:val="0"/>
          <w:sz w:val="24"/>
          <w:lang w:bidi="ar"/>
        </w:rPr>
        <w:t>现代化经济体系的建设发展和人民生活水平不断提升。</w:t>
      </w:r>
      <w:r>
        <w:rPr>
          <w:rFonts w:hint="eastAsia" w:ascii="仿宋" w:hAnsi="仿宋" w:cs="仿宋"/>
          <w:color w:val="000000"/>
          <w:kern w:val="0"/>
          <w:sz w:val="24"/>
          <w:lang w:bidi="ar"/>
        </w:rPr>
        <w:t>要求进一步提升运输服务品质、降低物流成本，优化运输组织方式和服务方式，提供多层次、多样化、个性化的旅客出行和货物运输服务，为社会公众提供更优质、更便捷、更经济的运输和出行体验。</w:t>
      </w:r>
    </w:p>
    <w:p w14:paraId="482EFB97">
      <w:pPr>
        <w:widowControl/>
        <w:ind w:firstLine="373" w:firstLineChars="155"/>
        <w:jc w:val="left"/>
        <w:rPr>
          <w:rFonts w:ascii="仿宋" w:hAnsi="仿宋" w:cs="仿宋"/>
          <w:color w:val="000000"/>
          <w:kern w:val="0"/>
          <w:sz w:val="24"/>
          <w:lang w:bidi="ar"/>
        </w:rPr>
      </w:pPr>
      <w:r>
        <w:rPr>
          <w:rFonts w:hint="eastAsia" w:ascii="仿宋" w:hAnsi="仿宋" w:cs="仿宋"/>
          <w:b/>
          <w:bCs/>
          <w:color w:val="000000"/>
          <w:kern w:val="0"/>
          <w:sz w:val="24"/>
          <w:lang w:bidi="ar"/>
        </w:rPr>
        <w:t>加快新一轮技术产业变革，要求加强科技创新培育交通发展新动能。</w:t>
      </w:r>
      <w:r>
        <w:rPr>
          <w:rFonts w:hint="eastAsia" w:ascii="仿宋" w:hAnsi="仿宋" w:cs="仿宋"/>
          <w:color w:val="000000"/>
          <w:kern w:val="0"/>
          <w:sz w:val="24"/>
          <w:lang w:bidi="ar"/>
        </w:rPr>
        <w:t>当前，全球科技创新处于空前密集活跃时期，新一轮科技革命正掀起产业变革的浪潮，新技术与传统行业深度融合，智能交通基础设施等“新基建”加快推进。信息化、智能化体现了未来交通运输的发展方向，交通信息化关系到交通</w:t>
      </w:r>
      <w:r>
        <w:rPr>
          <w:rFonts w:hint="eastAsia" w:ascii="仿宋" w:hAnsi="仿宋" w:cs="仿宋"/>
          <w:color w:val="000000"/>
          <w:kern w:val="0"/>
          <w:sz w:val="24"/>
          <w:lang w:eastAsia="zh-CN" w:bidi="ar"/>
        </w:rPr>
        <w:t>现代化建设全局</w:t>
      </w:r>
      <w:r>
        <w:rPr>
          <w:rFonts w:hint="eastAsia" w:ascii="仿宋" w:hAnsi="仿宋" w:cs="仿宋"/>
          <w:color w:val="000000"/>
          <w:kern w:val="0"/>
          <w:sz w:val="24"/>
          <w:lang w:bidi="ar"/>
        </w:rPr>
        <w:t>，只有加快运用信息技术变革的先进成果改造提升传统交通运输业，推动信息产业与交通行业深度融合、相得益彰，才能抢占市场竞争的制高点，赢得发展先机，为</w:t>
      </w:r>
      <w:r>
        <w:rPr>
          <w:rFonts w:hint="eastAsia" w:ascii="仿宋" w:hAnsi="仿宋" w:cs="仿宋"/>
          <w:color w:val="000000"/>
          <w:kern w:val="0"/>
          <w:sz w:val="24"/>
          <w:lang w:eastAsia="zh-CN" w:bidi="ar"/>
        </w:rPr>
        <w:t>深入</w:t>
      </w:r>
      <w:r>
        <w:rPr>
          <w:rFonts w:hint="eastAsia" w:ascii="仿宋" w:hAnsi="仿宋" w:cs="仿宋"/>
          <w:color w:val="000000"/>
          <w:kern w:val="0"/>
          <w:sz w:val="24"/>
          <w:lang w:bidi="ar"/>
        </w:rPr>
        <w:t>落实交通强国战略提供强大动力和支撑。</w:t>
      </w:r>
    </w:p>
    <w:p w14:paraId="4D76A068">
      <w:pPr>
        <w:widowControl/>
        <w:ind w:firstLine="373" w:firstLineChars="155"/>
        <w:jc w:val="left"/>
        <w:rPr>
          <w:rFonts w:ascii="仿宋" w:hAnsi="仿宋" w:cs="仿宋"/>
          <w:color w:val="000000"/>
          <w:kern w:val="0"/>
          <w:sz w:val="24"/>
          <w:lang w:bidi="ar"/>
        </w:rPr>
      </w:pPr>
      <w:r>
        <w:rPr>
          <w:rFonts w:hint="eastAsia" w:ascii="仿宋" w:hAnsi="仿宋" w:cs="仿宋"/>
          <w:b/>
          <w:bCs/>
          <w:color w:val="000000"/>
          <w:kern w:val="0"/>
          <w:sz w:val="24"/>
          <w:lang w:bidi="ar"/>
        </w:rPr>
        <w:t>加强生态文明建设，不断推进绿色集约型城市发展。</w:t>
      </w:r>
      <w:r>
        <w:rPr>
          <w:rFonts w:hint="eastAsia" w:ascii="仿宋" w:hAnsi="仿宋" w:cs="仿宋"/>
          <w:color w:val="000000"/>
          <w:kern w:val="0"/>
          <w:sz w:val="24"/>
          <w:lang w:bidi="ar"/>
        </w:rPr>
        <w:t>现阶段，国家大力推进生态文明建设，要求在交通运输规划、项目建设和养护中不断加强生态环境保护，加强生态选址选线，结合生态保护红线的划定，依法避绕生态环境敏感区，全面加强生态环保设计、推行生态防护技术，促进绿色发展。</w:t>
      </w:r>
    </w:p>
    <w:p w14:paraId="5AF48A60">
      <w:pPr>
        <w:spacing w:line="300" w:lineRule="auto"/>
        <w:ind w:firstLine="482"/>
        <w:rPr>
          <w:sz w:val="24"/>
        </w:rPr>
      </w:pPr>
      <w:r>
        <w:rPr>
          <w:rFonts w:hint="eastAsia" w:ascii="仿宋" w:hAnsi="仿宋" w:cs="仿宋"/>
          <w:b/>
          <w:bCs/>
          <w:color w:val="000000"/>
          <w:kern w:val="0"/>
          <w:sz w:val="24"/>
          <w:lang w:bidi="ar"/>
        </w:rPr>
        <w:t>总体判断，</w:t>
      </w:r>
      <w:r>
        <w:rPr>
          <w:rFonts w:hint="eastAsia" w:ascii="仿宋" w:hAnsi="仿宋" w:cs="仿宋"/>
          <w:color w:val="000000"/>
          <w:kern w:val="0"/>
          <w:sz w:val="24"/>
          <w:lang w:bidi="ar"/>
        </w:rPr>
        <w:t>“十四五”期是庄河市综合交通运输高质量发展的关键期，是实现第一个百年奋斗目标和推进城市交通发展带动城市经济发展的关键时期。“十四五”时期，应继续遵循习近平总书记“交通强国”的发展战略，统筹推进公路运输、铁路运输、水路运输全面发展，扎实推进“智慧城市”建设进程，稳步落实平安交通、综合交通、智慧交通、绿色交通四大交通工作，进一步提升庄河城市交通服务。</w:t>
      </w:r>
    </w:p>
    <w:p w14:paraId="0E40A8E0">
      <w:pPr>
        <w:ind w:firstLine="480"/>
        <w:rPr>
          <w:rFonts w:ascii="仿宋" w:hAnsi="仿宋"/>
          <w:sz w:val="24"/>
        </w:rPr>
        <w:sectPr>
          <w:footerReference r:id="rId11" w:type="default"/>
          <w:pgSz w:w="11906" w:h="16838"/>
          <w:pgMar w:top="1440" w:right="1418" w:bottom="1440" w:left="1418" w:header="851" w:footer="992" w:gutter="0"/>
          <w:pgNumType w:start="1"/>
          <w:cols w:space="425" w:num="1"/>
          <w:docGrid w:type="lines" w:linePitch="312" w:charSpace="0"/>
        </w:sectPr>
      </w:pPr>
    </w:p>
    <w:p w14:paraId="1DC0DBC9">
      <w:pPr>
        <w:pStyle w:val="3"/>
        <w:spacing w:before="0" w:after="220" w:line="360" w:lineRule="auto"/>
        <w:jc w:val="left"/>
        <w:rPr>
          <w:rFonts w:ascii="Times New Roman" w:hAnsi="Times New Roman" w:eastAsia="黑体" w:cs="Times New Roman"/>
          <w:b w:val="0"/>
          <w:sz w:val="30"/>
          <w:szCs w:val="30"/>
        </w:rPr>
      </w:pPr>
      <w:bookmarkStart w:id="13" w:name="_Toc72258209"/>
      <w:r>
        <w:rPr>
          <w:rFonts w:hint="eastAsia" w:ascii="Times New Roman" w:hAnsi="Times New Roman" w:eastAsia="黑体" w:cs="Times New Roman"/>
          <w:b w:val="0"/>
          <w:sz w:val="30"/>
          <w:szCs w:val="30"/>
        </w:rPr>
        <w:t>二、“十四五”指导思想、基本原则与规划目标</w:t>
      </w:r>
      <w:bookmarkEnd w:id="13"/>
    </w:p>
    <w:p w14:paraId="50084402">
      <w:pPr>
        <w:pStyle w:val="4"/>
        <w:spacing w:before="156" w:beforeLines="50" w:after="0" w:line="360" w:lineRule="auto"/>
        <w:ind w:firstLine="0" w:firstLineChars="0"/>
        <w:rPr>
          <w:rFonts w:ascii="Times New Roman" w:hAnsi="Times New Roman"/>
          <w:b w:val="0"/>
          <w:bCs/>
          <w:sz w:val="28"/>
          <w:szCs w:val="28"/>
        </w:rPr>
      </w:pPr>
      <w:bookmarkStart w:id="14" w:name="_Toc72258210"/>
      <w:r>
        <w:rPr>
          <w:rFonts w:hint="eastAsia" w:ascii="Times New Roman" w:hAnsi="Times New Roman"/>
          <w:b w:val="0"/>
          <w:bCs/>
          <w:sz w:val="28"/>
          <w:szCs w:val="28"/>
        </w:rPr>
        <w:t>（一）指导思想</w:t>
      </w:r>
      <w:bookmarkEnd w:id="14"/>
    </w:p>
    <w:p w14:paraId="5396914A">
      <w:pPr>
        <w:ind w:firstLine="480"/>
        <w:rPr>
          <w:rFonts w:ascii="仿宋" w:hAnsi="仿宋"/>
          <w:sz w:val="24"/>
        </w:rPr>
      </w:pPr>
      <w:r>
        <w:rPr>
          <w:rFonts w:hint="eastAsia" w:ascii="仿宋" w:hAnsi="仿宋"/>
          <w:sz w:val="24"/>
        </w:rPr>
        <w:t>以习近平新时代中国特色社会主义思想为引领，深入贯彻交通强国战略理念，扎实践行</w:t>
      </w:r>
      <w:r>
        <w:rPr>
          <w:rFonts w:ascii="仿宋" w:hAnsi="仿宋"/>
          <w:sz w:val="24"/>
        </w:rPr>
        <w:t>“振兴环渤海区域”国家战略</w:t>
      </w:r>
      <w:r>
        <w:rPr>
          <w:rFonts w:hint="eastAsia" w:ascii="仿宋" w:hAnsi="仿宋"/>
          <w:sz w:val="24"/>
        </w:rPr>
        <w:t>，按照“交通强国”战略布局，加快建立辽宁沿海经济带的公路交通体系；加速推进庄河市公路网科学建设；加快构筑以公共交通为主体、多方式顺畅衔接、现代化、一体化的综合交通运输体系；抓住发展契机，积极发挥庄河市区位、资源、产业等优势，为城市提供和谐、通畅、高效、绿色的交通环境和人性化的交通服务。</w:t>
      </w:r>
    </w:p>
    <w:p w14:paraId="39D1A414">
      <w:pPr>
        <w:pStyle w:val="4"/>
        <w:spacing w:before="156" w:beforeLines="50" w:after="0" w:line="360" w:lineRule="auto"/>
        <w:ind w:firstLine="0" w:firstLineChars="0"/>
        <w:rPr>
          <w:rFonts w:ascii="Times New Roman" w:hAnsi="Times New Roman"/>
          <w:b w:val="0"/>
          <w:bCs/>
          <w:sz w:val="28"/>
          <w:szCs w:val="28"/>
        </w:rPr>
      </w:pPr>
      <w:bookmarkStart w:id="15" w:name="_Toc72258211"/>
      <w:r>
        <w:rPr>
          <w:rFonts w:hint="eastAsia" w:ascii="Times New Roman" w:hAnsi="Times New Roman"/>
          <w:b w:val="0"/>
          <w:bCs/>
          <w:sz w:val="28"/>
          <w:szCs w:val="28"/>
        </w:rPr>
        <w:t>（二）规划原则</w:t>
      </w:r>
      <w:bookmarkEnd w:id="15"/>
    </w:p>
    <w:p w14:paraId="6E4B2DC1">
      <w:pPr>
        <w:ind w:firstLine="482"/>
        <w:rPr>
          <w:rFonts w:ascii="仿宋" w:hAnsi="仿宋"/>
          <w:sz w:val="24"/>
        </w:rPr>
      </w:pPr>
      <w:r>
        <w:rPr>
          <w:rFonts w:hint="eastAsia" w:ascii="仿宋" w:hAnsi="仿宋"/>
          <w:b/>
          <w:sz w:val="24"/>
        </w:rPr>
        <w:t>以综合交通为核心</w:t>
      </w:r>
      <w:r>
        <w:rPr>
          <w:rFonts w:hint="eastAsia" w:ascii="仿宋" w:hAnsi="仿宋"/>
          <w:sz w:val="24"/>
        </w:rPr>
        <w:t>。经过多年的建设，我国交通运输已经进入了各种运输方式融合交汇、统筹发展的新阶段。加快发展综合交通，是适应全面建成小康社会的必然要求</w:t>
      </w:r>
      <w:r>
        <w:rPr>
          <w:rFonts w:hint="eastAsia" w:ascii="仿宋" w:hAnsi="仿宋"/>
          <w:sz w:val="24"/>
          <w:lang w:eastAsia="zh-CN"/>
        </w:rPr>
        <w:t>，也</w:t>
      </w:r>
      <w:r>
        <w:rPr>
          <w:rFonts w:hint="eastAsia" w:ascii="仿宋" w:hAnsi="仿宋"/>
          <w:sz w:val="24"/>
        </w:rPr>
        <w:t>是加快转方式、调结构、提质增效升级的重要内容，也是推进交通运输可持续发展的必由之路。加快发展综合交通，要义就是坚持适度超前、改革创新，做到</w:t>
      </w:r>
      <w:r>
        <w:rPr>
          <w:rFonts w:hint="eastAsia" w:ascii="仿宋" w:hAnsi="仿宋"/>
          <w:sz w:val="24"/>
          <w:lang w:eastAsia="zh-CN"/>
        </w:rPr>
        <w:t>尽力而为、量力而行</w:t>
      </w:r>
      <w:r>
        <w:rPr>
          <w:rFonts w:hint="eastAsia" w:ascii="仿宋" w:hAnsi="仿宋"/>
          <w:sz w:val="24"/>
        </w:rPr>
        <w:t>，与区域协调发展和新型城镇化要求相适应，合理布局不同区域、不同层次、不同方式的运输网络，合理配置和优化整合交通运输资源，发挥各种运输方式技术经济优势和交通网络整体效能。</w:t>
      </w:r>
    </w:p>
    <w:p w14:paraId="5F41BEAC">
      <w:pPr>
        <w:ind w:firstLine="482"/>
        <w:rPr>
          <w:rFonts w:ascii="仿宋" w:hAnsi="仿宋"/>
          <w:sz w:val="24"/>
        </w:rPr>
      </w:pPr>
      <w:r>
        <w:rPr>
          <w:rFonts w:hint="eastAsia" w:ascii="仿宋" w:hAnsi="仿宋"/>
          <w:b/>
          <w:sz w:val="24"/>
        </w:rPr>
        <w:t>以智慧交通为关键</w:t>
      </w:r>
      <w:r>
        <w:rPr>
          <w:rFonts w:hint="eastAsia" w:ascii="仿宋" w:hAnsi="仿宋"/>
          <w:sz w:val="24"/>
        </w:rPr>
        <w:t>。信息化智能化水平是衡量交通运输现代化发展水平的重要标志。加快发展智慧交通，是推进交通运输管理创新的重要抓手</w:t>
      </w:r>
      <w:r>
        <w:rPr>
          <w:rFonts w:hint="eastAsia" w:ascii="仿宋" w:hAnsi="仿宋"/>
          <w:sz w:val="24"/>
          <w:lang w:eastAsia="zh-CN"/>
        </w:rPr>
        <w:t>，也</w:t>
      </w:r>
      <w:r>
        <w:rPr>
          <w:rFonts w:hint="eastAsia" w:ascii="仿宋" w:hAnsi="仿宋"/>
          <w:sz w:val="24"/>
        </w:rPr>
        <w:t>是提升交通运输服务水平的有效途径，也是推动交通运输转型发展的重要支撑。加快发展智慧交通，要义就是坚持面向发展、开放协同，重点突破、全面提升，以信息化、智能化为牵引，推动现代信息技术与交通运输管理和服务全面融合，实现交通运输设施装备、运输组织的智能化和运营效率、服务质量的提升。</w:t>
      </w:r>
    </w:p>
    <w:p w14:paraId="496C73D5">
      <w:pPr>
        <w:ind w:firstLine="482"/>
        <w:rPr>
          <w:rFonts w:ascii="仿宋" w:hAnsi="仿宋"/>
          <w:sz w:val="24"/>
        </w:rPr>
      </w:pPr>
      <w:r>
        <w:rPr>
          <w:rFonts w:hint="eastAsia" w:ascii="仿宋" w:hAnsi="仿宋"/>
          <w:b/>
          <w:sz w:val="24"/>
        </w:rPr>
        <w:t>以绿色交通为引领</w:t>
      </w:r>
      <w:r>
        <w:rPr>
          <w:rFonts w:hint="eastAsia" w:ascii="仿宋" w:hAnsi="仿宋"/>
          <w:sz w:val="24"/>
        </w:rPr>
        <w:t>。交通运输是国家节能减排和应对气候变化的重点领域之一。加快发展绿色交通，是建设生态文明的基本要求，是转变交通运输发展方式的重要途径，也是实现交通运输与资源环境和谐发展的应有之义。加快发展绿色交通，要义就是坚持政府主导、法规约束，示范引领、制度创新，把绿色循环低碳发展理念</w:t>
      </w:r>
      <w:r>
        <w:rPr>
          <w:rFonts w:hint="eastAsia" w:ascii="仿宋" w:hAnsi="仿宋"/>
          <w:sz w:val="24"/>
          <w:lang w:eastAsia="zh-CN"/>
        </w:rPr>
        <w:t>贯彻落实</w:t>
      </w:r>
      <w:r>
        <w:rPr>
          <w:rFonts w:hint="eastAsia" w:ascii="仿宋" w:hAnsi="仿宋"/>
          <w:sz w:val="24"/>
        </w:rPr>
        <w:t>到交通运输发展的各个领域和各个环节，在发展中保护、在保护中发展，加快建设资源节约型、环境友好型交通运输行业，实现经济效益、社会效益和环境效益的有机统一；2021年的全国两会期间，我国承诺于2030年之前二氧化碳的排放量不再增长，做到“碳达峰”，在2060年针对排放的二氧化碳采取一系列手段将其抵消，做到“碳中和”，因此“十四五”综合交通规划要紧紧围绕这一原则进行开展。</w:t>
      </w:r>
    </w:p>
    <w:p w14:paraId="257B7CCF">
      <w:pPr>
        <w:ind w:firstLine="482"/>
        <w:rPr>
          <w:rFonts w:ascii="仿宋" w:hAnsi="仿宋"/>
          <w:sz w:val="24"/>
        </w:rPr>
      </w:pPr>
      <w:r>
        <w:rPr>
          <w:rFonts w:hint="eastAsia" w:ascii="仿宋" w:hAnsi="仿宋"/>
          <w:b/>
          <w:sz w:val="24"/>
        </w:rPr>
        <w:t>以平安交通为基础</w:t>
      </w:r>
      <w:r>
        <w:rPr>
          <w:rFonts w:hint="eastAsia" w:ascii="仿宋" w:hAnsi="仿宋"/>
          <w:sz w:val="24"/>
        </w:rPr>
        <w:t>。防止目前阶段安全事故“不可避免论”，牢固树立加快发展平安交通，是以人为本的本质要求，是服务民生的最大前提，也是实现交通运输科学发展的基础条件。加快发展平安交通，要义就是把安全发展理念贯穿于各领域、全过程，特别是基层和一线，坚持底线思维和红线思维并不断拧紧螺丝扣，把保障人民群众出行安全放在首位，坚决守住安全是底线、安全是红线的思想防线和责任防线，强化安全治理体系和治理能力建设，提高交通运输安全发展的防、管、控能力。</w:t>
      </w:r>
    </w:p>
    <w:p w14:paraId="020D1BE3">
      <w:pPr>
        <w:pStyle w:val="4"/>
        <w:spacing w:before="156" w:beforeLines="50" w:after="0" w:line="360" w:lineRule="auto"/>
        <w:ind w:firstLine="0" w:firstLineChars="0"/>
        <w:rPr>
          <w:rFonts w:ascii="Times New Roman" w:hAnsi="Times New Roman"/>
          <w:b w:val="0"/>
          <w:bCs/>
          <w:sz w:val="28"/>
          <w:szCs w:val="28"/>
        </w:rPr>
      </w:pPr>
      <w:bookmarkStart w:id="16" w:name="_Toc72258212"/>
      <w:r>
        <w:rPr>
          <w:rFonts w:hint="eastAsia" w:ascii="Times New Roman" w:hAnsi="Times New Roman"/>
          <w:b w:val="0"/>
          <w:bCs/>
          <w:sz w:val="28"/>
          <w:szCs w:val="28"/>
        </w:rPr>
        <w:t>（三）规划目标</w:t>
      </w:r>
      <w:bookmarkEnd w:id="16"/>
    </w:p>
    <w:p w14:paraId="58F19FB9">
      <w:pPr>
        <w:widowControl/>
        <w:ind w:firstLine="420" w:firstLineChars="175"/>
        <w:jc w:val="left"/>
        <w:rPr>
          <w:rFonts w:ascii="仿宋" w:hAnsi="仿宋" w:cs="仿宋"/>
          <w:color w:val="000000"/>
          <w:kern w:val="0"/>
          <w:sz w:val="24"/>
          <w:lang w:bidi="ar"/>
        </w:rPr>
      </w:pPr>
      <w:r>
        <w:rPr>
          <w:rFonts w:hint="eastAsia" w:ascii="仿宋" w:hAnsi="仿宋" w:cs="仿宋"/>
          <w:color w:val="000000"/>
          <w:kern w:val="0"/>
          <w:sz w:val="24"/>
          <w:lang w:bidi="ar"/>
        </w:rPr>
        <w:t xml:space="preserve">到2025年，安全、便捷、高效、绿色、经济的现代化综合交通运输体系迈上新台阶，形成“通道+枢纽+网络”的一体化综合立体交通网络，综合交通运输效益效率明显提升。智慧、绿色、平安交通发展水平进一步提高，综合交通运输服务能力与水平总体适应并适度超前经济社会发展，人民满意度明显提升。 </w:t>
      </w:r>
    </w:p>
    <w:p w14:paraId="48896C86">
      <w:pPr>
        <w:spacing w:line="300" w:lineRule="auto"/>
        <w:ind w:firstLine="482"/>
        <w:rPr>
          <w:rFonts w:ascii="仿宋" w:hAnsi="仿宋" w:cs="仿宋"/>
          <w:color w:val="000000"/>
          <w:kern w:val="0"/>
          <w:sz w:val="24"/>
          <w:lang w:bidi="ar"/>
        </w:rPr>
      </w:pPr>
      <w:r>
        <w:rPr>
          <w:rFonts w:hint="eastAsia" w:ascii="仿宋" w:hAnsi="仿宋" w:cs="仿宋"/>
          <w:b/>
          <w:bCs/>
          <w:color w:val="000000"/>
          <w:kern w:val="0"/>
          <w:sz w:val="24"/>
          <w:lang w:bidi="ar"/>
        </w:rPr>
        <w:t>——网络设施便捷顺畅。</w:t>
      </w:r>
      <w:r>
        <w:rPr>
          <w:rFonts w:hint="eastAsia" w:ascii="仿宋" w:hAnsi="仿宋" w:cs="仿宋"/>
          <w:color w:val="000000"/>
          <w:kern w:val="0"/>
          <w:sz w:val="24"/>
          <w:lang w:bidi="ar"/>
        </w:rPr>
        <w:t>“十四五”期间，庄河市各级公路将围绕现有公路网，加大对现有路线的升级改造工作，积极改善各路线通行条件，着力打造更畅捷、更高效、更安全、更环保、更和谐的公路基础设施运营管理体系，坚持公路建设规划与经济社会发展紧密结合、区域交通一体化等原则，实现普通公路与高等级公路、农村公路与干线公路的有效衔接，加快构筑区域性交通网络。</w:t>
      </w:r>
    </w:p>
    <w:p w14:paraId="5B15353B">
      <w:pPr>
        <w:spacing w:line="300" w:lineRule="auto"/>
        <w:ind w:firstLine="482"/>
        <w:rPr>
          <w:rFonts w:ascii="仿宋" w:hAnsi="仿宋" w:cs="仿宋"/>
          <w:color w:val="000000"/>
          <w:kern w:val="0"/>
          <w:sz w:val="24"/>
          <w:lang w:bidi="ar"/>
        </w:rPr>
      </w:pPr>
      <w:r>
        <w:rPr>
          <w:rFonts w:hint="eastAsia" w:ascii="仿宋" w:hAnsi="仿宋" w:cs="仿宋"/>
          <w:b/>
          <w:bCs/>
          <w:color w:val="000000"/>
          <w:kern w:val="0"/>
          <w:sz w:val="24"/>
          <w:lang w:bidi="ar"/>
        </w:rPr>
        <w:t>——开放合作能力增强。</w:t>
      </w:r>
      <w:r>
        <w:rPr>
          <w:rFonts w:hint="eastAsia" w:ascii="仿宋" w:hAnsi="仿宋" w:cs="仿宋"/>
          <w:color w:val="000000"/>
          <w:kern w:val="0"/>
          <w:sz w:val="24"/>
          <w:lang w:bidi="ar"/>
        </w:rPr>
        <w:t>坚持港产城融合发展，大力提升港口、航线和口岸服务功能。开通庄河到韩国仁川、平泽和日本舞鹤的海上国际客滚航线，争取开通更多至东南沿海和华北的国内航线，逐步加大庄河到大窑湾港的集装箱航班密度，积极探索开通庄河港至韩国釜山、日本北九州、新加坡等国际近洋航线，实现集装箱由庄河港起运到大窑湾港或其他港口中转。大力发展至东北三省及蒙东地区的公路、铁路运输，推动多式联运，打通新的陆海物流通道。</w:t>
      </w:r>
    </w:p>
    <w:p w14:paraId="57A80F7E">
      <w:pPr>
        <w:widowControl/>
        <w:ind w:firstLine="422" w:firstLineChars="175"/>
        <w:jc w:val="left"/>
        <w:rPr>
          <w:rFonts w:ascii="仿宋" w:hAnsi="仿宋" w:cs="仿宋"/>
          <w:color w:val="000000"/>
          <w:kern w:val="0"/>
          <w:sz w:val="24"/>
          <w:lang w:bidi="ar"/>
        </w:rPr>
      </w:pPr>
      <w:r>
        <w:rPr>
          <w:rFonts w:hint="eastAsia" w:ascii="仿宋" w:hAnsi="仿宋" w:cs="仿宋"/>
          <w:b/>
          <w:bCs/>
          <w:color w:val="000000"/>
          <w:kern w:val="0"/>
          <w:sz w:val="24"/>
          <w:lang w:bidi="ar"/>
        </w:rPr>
        <w:t>——创新智慧明显提升。</w:t>
      </w:r>
      <w:r>
        <w:rPr>
          <w:rFonts w:hint="eastAsia" w:ascii="仿宋" w:hAnsi="仿宋" w:cs="仿宋"/>
          <w:color w:val="000000"/>
          <w:kern w:val="0"/>
          <w:sz w:val="24"/>
          <w:lang w:bidi="ar"/>
        </w:rPr>
        <w:t>庄河市智慧交通以云计算、物联网、大数据等新一代信息技术为支撑，以庄河市智慧城市公共数据中心、公共信息平台、运营指挥中心为依托，以综合交通动态监测、交通运输综合管理、智慧出行服务三大应用为主导，逐步整合建设交通运输系统信息化基础设施和交通信息资源大数据，逐步推进综合交通运行监测与预警系统、综合交通视频监控系统、互联网综合服务系统、综合查询分析系统、运输企业监管系统、公交智能调度系统、电子站牌信息服务、电子站牌运维管理系统和手机终端智能信息服务系统建设，为行业管理提供科学决策和应急指挥调度的信息化支撑，为公众提供人性化、便捷化、综合化、智慧化的交通出行服务，为政府、企业和公众提供相应的服务。</w:t>
      </w:r>
    </w:p>
    <w:p w14:paraId="656746AA">
      <w:pPr>
        <w:widowControl/>
        <w:ind w:firstLine="422" w:firstLineChars="175"/>
        <w:jc w:val="left"/>
        <w:rPr>
          <w:rFonts w:ascii="仿宋" w:hAnsi="仿宋" w:cs="仿宋"/>
          <w:color w:val="000000"/>
          <w:kern w:val="0"/>
          <w:sz w:val="24"/>
          <w:lang w:bidi="ar"/>
        </w:rPr>
      </w:pPr>
      <w:r>
        <w:rPr>
          <w:rFonts w:hint="eastAsia" w:ascii="仿宋" w:hAnsi="仿宋" w:cs="仿宋"/>
          <w:b/>
          <w:bCs/>
          <w:color w:val="000000"/>
          <w:kern w:val="0"/>
          <w:sz w:val="24"/>
          <w:lang w:bidi="ar"/>
        </w:rPr>
        <w:t>——绿色安全成效显著。</w:t>
      </w:r>
      <w:r>
        <w:rPr>
          <w:rFonts w:hint="eastAsia" w:ascii="仿宋" w:hAnsi="仿宋" w:cs="仿宋"/>
          <w:color w:val="000000"/>
          <w:kern w:val="0"/>
          <w:sz w:val="24"/>
          <w:lang w:bidi="ar"/>
        </w:rPr>
        <w:t>加强城市快速公交形态建设，促进庄河中心城区用地跨越河流、山体呈组团式发展，远期结合市域轨道交通，形成便捷的骨干交通走廊，引导居住、就业岗位的转移，逐渐形成组团式发展模式。</w:t>
      </w:r>
    </w:p>
    <w:p w14:paraId="460EC531">
      <w:pPr>
        <w:widowControl/>
        <w:ind w:firstLine="420" w:firstLineChars="175"/>
        <w:jc w:val="left"/>
        <w:rPr>
          <w:rFonts w:ascii="仿宋" w:hAnsi="仿宋" w:cs="仿宋"/>
          <w:color w:val="000000"/>
          <w:kern w:val="0"/>
          <w:sz w:val="24"/>
          <w:lang w:bidi="ar"/>
        </w:rPr>
      </w:pPr>
      <w:r>
        <w:rPr>
          <w:rFonts w:hint="eastAsia" w:ascii="仿宋" w:hAnsi="仿宋" w:cs="仿宋"/>
          <w:color w:val="000000"/>
          <w:kern w:val="0"/>
          <w:sz w:val="24"/>
          <w:lang w:bidi="ar"/>
        </w:rPr>
        <w:t>展望2035年，基本建成交通强国篇章，基本建成快速通达、高效经济、智慧先进、绿色安全的现代化综合交通体系，基本形成现代化综合立体交通网络，综合运输服务便捷高效，群众满意度明显提高；基本实现交通行业治理体系和治理能力现代化。</w:t>
      </w:r>
    </w:p>
    <w:p w14:paraId="2FB16DD6">
      <w:pPr>
        <w:pStyle w:val="4"/>
        <w:spacing w:before="156" w:beforeLines="50" w:after="0" w:line="360" w:lineRule="auto"/>
        <w:ind w:firstLine="0" w:firstLineChars="0"/>
        <w:rPr>
          <w:rFonts w:ascii="Times New Roman" w:hAnsi="Times New Roman"/>
          <w:b w:val="0"/>
          <w:bCs/>
          <w:sz w:val="28"/>
          <w:szCs w:val="28"/>
        </w:rPr>
      </w:pPr>
      <w:bookmarkStart w:id="17" w:name="_Toc72258213"/>
      <w:r>
        <w:rPr>
          <w:rFonts w:hint="eastAsia" w:ascii="Times New Roman" w:hAnsi="Times New Roman"/>
          <w:b w:val="0"/>
          <w:bCs/>
          <w:sz w:val="28"/>
          <w:szCs w:val="28"/>
        </w:rPr>
        <w:t>（四）规划指标</w:t>
      </w:r>
      <w:bookmarkEnd w:id="17"/>
    </w:p>
    <w:p w14:paraId="2DB16EC8">
      <w:pPr>
        <w:ind w:firstLine="480"/>
        <w:rPr>
          <w:rFonts w:ascii="仿宋" w:hAnsi="仿宋"/>
          <w:sz w:val="24"/>
        </w:rPr>
      </w:pPr>
      <w:r>
        <w:rPr>
          <w:rFonts w:hint="eastAsia" w:ascii="仿宋" w:hAnsi="仿宋"/>
          <w:sz w:val="24"/>
        </w:rPr>
        <w:t>基于“交通强国”发展战略，以区域交通一体化为发展目标，与大连公路网“十四五”规划、庄河市综合交通运输体系“十四五”发展规划、庄河市交通“十四五”规划进行充分衔接，充分考虑庄河市交通建设等规划指标，确定庄河市综合交通“十四五”规划的指标体系。</w:t>
      </w:r>
    </w:p>
    <w:p w14:paraId="2C1A2FF7">
      <w:pPr>
        <w:pStyle w:val="20"/>
        <w:ind w:firstLine="0" w:firstLineChars="0"/>
        <w:jc w:val="center"/>
        <w:rPr>
          <w:rFonts w:ascii="仿宋" w:hAnsi="仿宋"/>
        </w:rPr>
      </w:pPr>
      <w:r>
        <w:rPr>
          <w:rFonts w:hint="eastAsia" w:ascii="仿宋" w:hAnsi="仿宋"/>
          <w:bCs/>
          <w:sz w:val="21"/>
          <w:szCs w:val="21"/>
        </w:rPr>
        <w:t>表</w:t>
      </w:r>
      <w:r>
        <w:rPr>
          <w:rFonts w:ascii="仿宋" w:hAnsi="仿宋"/>
          <w:bCs/>
          <w:sz w:val="21"/>
          <w:szCs w:val="21"/>
        </w:rPr>
        <w:t xml:space="preserve">1 </w:t>
      </w:r>
      <w:r>
        <w:rPr>
          <w:rFonts w:hint="eastAsia" w:ascii="仿宋" w:hAnsi="仿宋"/>
          <w:bCs/>
          <w:sz w:val="21"/>
          <w:szCs w:val="21"/>
        </w:rPr>
        <w:t>“十四五”规划指标体系</w:t>
      </w:r>
    </w:p>
    <w:tbl>
      <w:tblPr>
        <w:tblStyle w:val="12"/>
        <w:tblW w:w="4994" w:type="pct"/>
        <w:jc w:val="center"/>
        <w:tblLayout w:type="autofit"/>
        <w:tblCellMar>
          <w:top w:w="15" w:type="dxa"/>
          <w:left w:w="108" w:type="dxa"/>
          <w:bottom w:w="15" w:type="dxa"/>
          <w:right w:w="108" w:type="dxa"/>
        </w:tblCellMar>
      </w:tblPr>
      <w:tblGrid>
        <w:gridCol w:w="1644"/>
        <w:gridCol w:w="3437"/>
        <w:gridCol w:w="1612"/>
        <w:gridCol w:w="1458"/>
        <w:gridCol w:w="1124"/>
      </w:tblGrid>
      <w:tr w14:paraId="289FEDA0">
        <w:tblPrEx>
          <w:tblCellMar>
            <w:top w:w="15" w:type="dxa"/>
            <w:left w:w="108" w:type="dxa"/>
            <w:bottom w:w="15" w:type="dxa"/>
            <w:right w:w="108" w:type="dxa"/>
          </w:tblCellMar>
        </w:tblPrEx>
        <w:trPr>
          <w:cantSplit/>
          <w:trHeight w:val="300" w:hRule="atLeast"/>
          <w:tblHeader/>
          <w:jc w:val="center"/>
        </w:trPr>
        <w:tc>
          <w:tcPr>
            <w:tcW w:w="886" w:type="pct"/>
            <w:tcBorders>
              <w:top w:val="single" w:color="000000" w:sz="4" w:space="0"/>
              <w:left w:val="single" w:color="000000" w:sz="4" w:space="0"/>
              <w:bottom w:val="single" w:color="000000" w:sz="4" w:space="0"/>
              <w:right w:val="single" w:color="000000" w:sz="4" w:space="0"/>
            </w:tcBorders>
            <w:vAlign w:val="center"/>
          </w:tcPr>
          <w:p w14:paraId="45BFF486">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类别</w:t>
            </w:r>
          </w:p>
        </w:tc>
        <w:tc>
          <w:tcPr>
            <w:tcW w:w="1853" w:type="pct"/>
            <w:tcBorders>
              <w:top w:val="single" w:color="000000" w:sz="4" w:space="0"/>
              <w:left w:val="single" w:color="000000" w:sz="4" w:space="0"/>
              <w:bottom w:val="single" w:color="000000" w:sz="4" w:space="0"/>
              <w:right w:val="single" w:color="000000" w:sz="4" w:space="0"/>
            </w:tcBorders>
            <w:vAlign w:val="center"/>
          </w:tcPr>
          <w:p w14:paraId="701481F5">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指标名称</w:t>
            </w:r>
          </w:p>
        </w:tc>
        <w:tc>
          <w:tcPr>
            <w:tcW w:w="869" w:type="pct"/>
            <w:tcBorders>
              <w:top w:val="single" w:color="000000" w:sz="4" w:space="0"/>
              <w:left w:val="single" w:color="000000" w:sz="4" w:space="0"/>
              <w:bottom w:val="single" w:color="000000" w:sz="4" w:space="0"/>
              <w:right w:val="single" w:color="000000" w:sz="4" w:space="0"/>
            </w:tcBorders>
            <w:vAlign w:val="center"/>
          </w:tcPr>
          <w:p w14:paraId="5DCA8691">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现状值</w:t>
            </w:r>
          </w:p>
        </w:tc>
        <w:tc>
          <w:tcPr>
            <w:tcW w:w="786" w:type="pct"/>
            <w:tcBorders>
              <w:top w:val="single" w:color="000000" w:sz="4" w:space="0"/>
              <w:left w:val="single" w:color="000000" w:sz="4" w:space="0"/>
              <w:bottom w:val="single" w:color="000000" w:sz="4" w:space="0"/>
              <w:right w:val="single" w:color="000000" w:sz="4" w:space="0"/>
            </w:tcBorders>
            <w:vAlign w:val="center"/>
          </w:tcPr>
          <w:p w14:paraId="3D995E8A">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目标值</w:t>
            </w:r>
          </w:p>
        </w:tc>
        <w:tc>
          <w:tcPr>
            <w:tcW w:w="606" w:type="pct"/>
            <w:tcBorders>
              <w:top w:val="single" w:color="000000" w:sz="4" w:space="0"/>
              <w:left w:val="single" w:color="000000" w:sz="4" w:space="0"/>
              <w:bottom w:val="single" w:color="000000" w:sz="4" w:space="0"/>
              <w:right w:val="single" w:color="000000" w:sz="4" w:space="0"/>
            </w:tcBorders>
            <w:vAlign w:val="center"/>
          </w:tcPr>
          <w:p w14:paraId="3FCCA342">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属性</w:t>
            </w:r>
          </w:p>
        </w:tc>
      </w:tr>
      <w:tr w14:paraId="2F2B91B3">
        <w:tblPrEx>
          <w:tblCellMar>
            <w:top w:w="15" w:type="dxa"/>
            <w:left w:w="108" w:type="dxa"/>
            <w:bottom w:w="15" w:type="dxa"/>
            <w:right w:w="108" w:type="dxa"/>
          </w:tblCellMar>
        </w:tblPrEx>
        <w:trPr>
          <w:cantSplit/>
          <w:trHeight w:val="285" w:hRule="atLeast"/>
          <w:jc w:val="center"/>
        </w:trPr>
        <w:tc>
          <w:tcPr>
            <w:tcW w:w="886" w:type="pct"/>
            <w:tcBorders>
              <w:top w:val="single" w:color="000000" w:sz="4" w:space="0"/>
              <w:left w:val="single" w:color="000000" w:sz="4" w:space="0"/>
              <w:right w:val="single" w:color="000000" w:sz="4" w:space="0"/>
            </w:tcBorders>
            <w:vAlign w:val="center"/>
          </w:tcPr>
          <w:p w14:paraId="1A6BD404">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35B15C78">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公路总里程</w:t>
            </w:r>
            <w:r>
              <w:rPr>
                <w:rFonts w:hint="eastAsia" w:ascii="仿宋" w:hAnsi="仿宋"/>
                <w:color w:val="000000"/>
                <w:kern w:val="0"/>
                <w:sz w:val="21"/>
                <w:szCs w:val="21"/>
              </w:rPr>
              <w:t>（公里）</w:t>
            </w:r>
          </w:p>
        </w:tc>
        <w:tc>
          <w:tcPr>
            <w:tcW w:w="869" w:type="pct"/>
            <w:tcBorders>
              <w:top w:val="single" w:color="000000" w:sz="4" w:space="0"/>
              <w:left w:val="single" w:color="000000" w:sz="4" w:space="0"/>
              <w:bottom w:val="single" w:color="000000" w:sz="4" w:space="0"/>
              <w:right w:val="single" w:color="000000" w:sz="4" w:space="0"/>
            </w:tcBorders>
            <w:vAlign w:val="center"/>
          </w:tcPr>
          <w:p w14:paraId="7035383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3653.473</w:t>
            </w:r>
          </w:p>
        </w:tc>
        <w:tc>
          <w:tcPr>
            <w:tcW w:w="786" w:type="pct"/>
            <w:tcBorders>
              <w:top w:val="single" w:color="000000" w:sz="4" w:space="0"/>
              <w:left w:val="single" w:color="000000" w:sz="4" w:space="0"/>
              <w:bottom w:val="single" w:color="000000" w:sz="4" w:space="0"/>
              <w:right w:val="single" w:color="000000" w:sz="4" w:space="0"/>
            </w:tcBorders>
            <w:vAlign w:val="center"/>
          </w:tcPr>
          <w:p w14:paraId="44BA80E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sz w:val="21"/>
                <w:szCs w:val="21"/>
              </w:rPr>
              <w:t>3754.073</w:t>
            </w:r>
          </w:p>
        </w:tc>
        <w:tc>
          <w:tcPr>
            <w:tcW w:w="606" w:type="pct"/>
            <w:tcBorders>
              <w:top w:val="single" w:color="000000" w:sz="4" w:space="0"/>
              <w:left w:val="single" w:color="000000" w:sz="4" w:space="0"/>
              <w:bottom w:val="single" w:color="000000" w:sz="4" w:space="0"/>
              <w:right w:val="single" w:color="000000" w:sz="4" w:space="0"/>
            </w:tcBorders>
            <w:vAlign w:val="center"/>
          </w:tcPr>
          <w:p w14:paraId="41EFFF8D">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41729E53">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358152D3">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3D53377A">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公路密度</w:t>
            </w:r>
            <w:r>
              <w:rPr>
                <w:rFonts w:hint="eastAsia" w:ascii="仿宋" w:hAnsi="仿宋"/>
                <w:color w:val="000000"/>
                <w:kern w:val="0"/>
                <w:sz w:val="21"/>
                <w:szCs w:val="21"/>
                <w:lang w:eastAsia="zh-CN"/>
              </w:rPr>
              <w:t>（</w:t>
            </w:r>
            <w:r>
              <w:rPr>
                <w:rFonts w:ascii="仿宋" w:hAnsi="仿宋"/>
                <w:color w:val="000000"/>
                <w:kern w:val="0"/>
                <w:sz w:val="21"/>
                <w:szCs w:val="21"/>
              </w:rPr>
              <w:t>km/100km</w:t>
            </w:r>
            <w:r>
              <w:rPr>
                <w:rFonts w:ascii="仿宋" w:hAnsi="仿宋"/>
                <w:color w:val="000000"/>
                <w:kern w:val="0"/>
                <w:sz w:val="21"/>
                <w:szCs w:val="21"/>
                <w:vertAlign w:val="superscript"/>
              </w:rPr>
              <w:t>2</w:t>
            </w:r>
            <w:r>
              <w:rPr>
                <w:rFonts w:hint="eastAsia" w:ascii="仿宋" w:hAnsi="仿宋"/>
                <w:color w:val="000000"/>
                <w:kern w:val="0"/>
                <w:sz w:val="21"/>
                <w:szCs w:val="21"/>
                <w:lang w:eastAsia="zh-CN"/>
              </w:rPr>
              <w:t>）</w:t>
            </w:r>
          </w:p>
        </w:tc>
        <w:tc>
          <w:tcPr>
            <w:tcW w:w="869" w:type="pct"/>
            <w:tcBorders>
              <w:top w:val="single" w:color="000000" w:sz="4" w:space="0"/>
              <w:left w:val="single" w:color="000000" w:sz="4" w:space="0"/>
              <w:bottom w:val="single" w:color="000000" w:sz="4" w:space="0"/>
              <w:right w:val="single" w:color="000000" w:sz="4" w:space="0"/>
            </w:tcBorders>
            <w:vAlign w:val="center"/>
          </w:tcPr>
          <w:p w14:paraId="3C842075">
            <w:pPr>
              <w:widowControl/>
              <w:spacing w:line="240" w:lineRule="auto"/>
              <w:ind w:firstLine="0" w:firstLineChars="0"/>
              <w:jc w:val="center"/>
              <w:rPr>
                <w:rFonts w:ascii="仿宋" w:hAnsi="仿宋"/>
                <w:color w:val="000000"/>
                <w:kern w:val="0"/>
                <w:sz w:val="21"/>
                <w:szCs w:val="21"/>
              </w:rPr>
            </w:pPr>
            <w:r>
              <w:rPr>
                <w:rFonts w:ascii="仿宋" w:hAnsi="仿宋"/>
                <w:color w:val="000000"/>
                <w:sz w:val="21"/>
                <w:szCs w:val="21"/>
              </w:rPr>
              <w:t>91.7</w:t>
            </w:r>
          </w:p>
        </w:tc>
        <w:tc>
          <w:tcPr>
            <w:tcW w:w="786" w:type="pct"/>
            <w:tcBorders>
              <w:top w:val="single" w:color="000000" w:sz="4" w:space="0"/>
              <w:left w:val="single" w:color="000000" w:sz="4" w:space="0"/>
              <w:bottom w:val="single" w:color="000000" w:sz="4" w:space="0"/>
              <w:right w:val="single" w:color="000000" w:sz="4" w:space="0"/>
            </w:tcBorders>
            <w:vAlign w:val="center"/>
          </w:tcPr>
          <w:p w14:paraId="33DDF9E1">
            <w:pPr>
              <w:widowControl/>
              <w:spacing w:line="240" w:lineRule="auto"/>
              <w:ind w:firstLine="0" w:firstLineChars="0"/>
              <w:jc w:val="center"/>
              <w:rPr>
                <w:rFonts w:ascii="仿宋" w:hAnsi="仿宋"/>
                <w:color w:val="000000"/>
                <w:kern w:val="0"/>
                <w:sz w:val="21"/>
                <w:szCs w:val="21"/>
              </w:rPr>
            </w:pPr>
            <w:r>
              <w:rPr>
                <w:rFonts w:ascii="仿宋" w:hAnsi="仿宋"/>
                <w:color w:val="000000"/>
                <w:sz w:val="21"/>
                <w:szCs w:val="21"/>
              </w:rPr>
              <w:t>94.</w:t>
            </w:r>
            <w:r>
              <w:rPr>
                <w:rFonts w:hint="eastAsia" w:ascii="仿宋" w:hAnsi="仿宋"/>
                <w:color w:val="000000"/>
                <w:sz w:val="21"/>
                <w:szCs w:val="21"/>
              </w:rPr>
              <w:t>2</w:t>
            </w:r>
          </w:p>
        </w:tc>
        <w:tc>
          <w:tcPr>
            <w:tcW w:w="606" w:type="pct"/>
            <w:tcBorders>
              <w:top w:val="single" w:color="000000" w:sz="4" w:space="0"/>
              <w:left w:val="single" w:color="000000" w:sz="4" w:space="0"/>
              <w:bottom w:val="single" w:color="000000" w:sz="4" w:space="0"/>
              <w:right w:val="single" w:color="000000" w:sz="4" w:space="0"/>
            </w:tcBorders>
            <w:vAlign w:val="center"/>
          </w:tcPr>
          <w:p w14:paraId="65C7EA41">
            <w:pPr>
              <w:widowControl/>
              <w:spacing w:line="240" w:lineRule="auto"/>
              <w:ind w:firstLine="0" w:firstLineChars="0"/>
              <w:jc w:val="center"/>
              <w:rPr>
                <w:rFonts w:ascii="仿宋" w:hAnsi="仿宋"/>
                <w:color w:val="0000FF"/>
                <w:sz w:val="21"/>
                <w:szCs w:val="21"/>
              </w:rPr>
            </w:pPr>
            <w:r>
              <w:rPr>
                <w:rFonts w:hint="eastAsia" w:ascii="仿宋" w:hAnsi="仿宋" w:cs="宋体"/>
                <w:color w:val="000000"/>
                <w:sz w:val="21"/>
                <w:szCs w:val="21"/>
              </w:rPr>
              <w:t>预期性</w:t>
            </w:r>
          </w:p>
        </w:tc>
      </w:tr>
      <w:tr w14:paraId="163B0E9E">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6530A068">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15868FD9">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人均公路里程</w:t>
            </w:r>
            <w:r>
              <w:rPr>
                <w:rFonts w:hint="eastAsia" w:ascii="仿宋" w:hAnsi="仿宋"/>
                <w:color w:val="000000"/>
                <w:kern w:val="0"/>
                <w:sz w:val="21"/>
                <w:szCs w:val="21"/>
                <w:lang w:eastAsia="zh-CN"/>
              </w:rPr>
              <w:t>（</w:t>
            </w:r>
            <w:r>
              <w:rPr>
                <w:rFonts w:ascii="仿宋" w:hAnsi="仿宋"/>
                <w:color w:val="000000"/>
                <w:kern w:val="0"/>
                <w:sz w:val="21"/>
                <w:szCs w:val="21"/>
              </w:rPr>
              <w:t>km/万人</w:t>
            </w:r>
            <w:r>
              <w:rPr>
                <w:rFonts w:hint="eastAsia" w:ascii="仿宋" w:hAnsi="仿宋"/>
                <w:color w:val="000000"/>
                <w:kern w:val="0"/>
                <w:sz w:val="21"/>
                <w:szCs w:val="21"/>
                <w:lang w:eastAsia="zh-CN"/>
              </w:rPr>
              <w:t>）</w:t>
            </w:r>
          </w:p>
        </w:tc>
        <w:tc>
          <w:tcPr>
            <w:tcW w:w="869" w:type="pct"/>
            <w:tcBorders>
              <w:top w:val="single" w:color="000000" w:sz="4" w:space="0"/>
              <w:left w:val="single" w:color="000000" w:sz="4" w:space="0"/>
              <w:bottom w:val="single" w:color="000000" w:sz="4" w:space="0"/>
              <w:right w:val="single" w:color="000000" w:sz="4" w:space="0"/>
            </w:tcBorders>
            <w:vAlign w:val="center"/>
          </w:tcPr>
          <w:p w14:paraId="6649380B">
            <w:pPr>
              <w:widowControl/>
              <w:spacing w:line="240" w:lineRule="auto"/>
              <w:ind w:firstLine="0" w:firstLineChars="0"/>
              <w:jc w:val="center"/>
              <w:rPr>
                <w:rFonts w:ascii="仿宋" w:hAnsi="仿宋"/>
                <w:color w:val="000000"/>
                <w:kern w:val="0"/>
                <w:sz w:val="21"/>
                <w:szCs w:val="21"/>
              </w:rPr>
            </w:pPr>
            <w:r>
              <w:rPr>
                <w:rFonts w:ascii="仿宋" w:hAnsi="仿宋"/>
                <w:color w:val="000000"/>
                <w:sz w:val="21"/>
                <w:szCs w:val="21"/>
              </w:rPr>
              <w:t>46.01</w:t>
            </w:r>
          </w:p>
        </w:tc>
        <w:tc>
          <w:tcPr>
            <w:tcW w:w="786" w:type="pct"/>
            <w:tcBorders>
              <w:top w:val="single" w:color="000000" w:sz="4" w:space="0"/>
              <w:left w:val="single" w:color="000000" w:sz="4" w:space="0"/>
              <w:bottom w:val="single" w:color="000000" w:sz="4" w:space="0"/>
              <w:right w:val="single" w:color="000000" w:sz="4" w:space="0"/>
            </w:tcBorders>
            <w:vAlign w:val="center"/>
          </w:tcPr>
          <w:p w14:paraId="21F7F163">
            <w:pPr>
              <w:widowControl/>
              <w:spacing w:line="240" w:lineRule="auto"/>
              <w:ind w:firstLine="0" w:firstLineChars="0"/>
              <w:jc w:val="center"/>
              <w:rPr>
                <w:rFonts w:ascii="仿宋" w:hAnsi="仿宋"/>
                <w:color w:val="000000"/>
                <w:kern w:val="0"/>
                <w:sz w:val="21"/>
                <w:szCs w:val="21"/>
              </w:rPr>
            </w:pPr>
            <w:r>
              <w:rPr>
                <w:rFonts w:ascii="仿宋" w:hAnsi="仿宋"/>
                <w:color w:val="000000"/>
                <w:sz w:val="21"/>
                <w:szCs w:val="21"/>
              </w:rPr>
              <w:t>43.</w:t>
            </w:r>
            <w:r>
              <w:rPr>
                <w:rFonts w:hint="eastAsia" w:ascii="仿宋" w:hAnsi="仿宋"/>
                <w:color w:val="000000"/>
                <w:sz w:val="21"/>
                <w:szCs w:val="21"/>
              </w:rPr>
              <w:t>1</w:t>
            </w:r>
          </w:p>
        </w:tc>
        <w:tc>
          <w:tcPr>
            <w:tcW w:w="606" w:type="pct"/>
            <w:tcBorders>
              <w:top w:val="single" w:color="000000" w:sz="4" w:space="0"/>
              <w:left w:val="single" w:color="000000" w:sz="4" w:space="0"/>
              <w:bottom w:val="single" w:color="000000" w:sz="4" w:space="0"/>
              <w:right w:val="single" w:color="000000" w:sz="4" w:space="0"/>
            </w:tcBorders>
            <w:vAlign w:val="center"/>
          </w:tcPr>
          <w:p w14:paraId="3FF43250">
            <w:pPr>
              <w:widowControl/>
              <w:spacing w:line="240" w:lineRule="auto"/>
              <w:ind w:firstLine="0" w:firstLineChars="0"/>
              <w:jc w:val="center"/>
              <w:rPr>
                <w:rFonts w:ascii="仿宋" w:hAnsi="仿宋"/>
                <w:color w:val="0000FF"/>
                <w:sz w:val="21"/>
                <w:szCs w:val="21"/>
              </w:rPr>
            </w:pPr>
            <w:r>
              <w:rPr>
                <w:rFonts w:hint="eastAsia" w:ascii="仿宋" w:hAnsi="仿宋" w:cs="宋体"/>
                <w:color w:val="000000"/>
                <w:sz w:val="21"/>
                <w:szCs w:val="21"/>
              </w:rPr>
              <w:t>预期性</w:t>
            </w:r>
          </w:p>
        </w:tc>
      </w:tr>
      <w:tr w14:paraId="502A2B25">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72AC77EC">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5D817F3C">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国道</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vAlign w:val="center"/>
          </w:tcPr>
          <w:p w14:paraId="4BFB0D38">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243.852</w:t>
            </w:r>
          </w:p>
        </w:tc>
        <w:tc>
          <w:tcPr>
            <w:tcW w:w="786" w:type="pct"/>
            <w:tcBorders>
              <w:top w:val="single" w:color="000000" w:sz="4" w:space="0"/>
              <w:left w:val="single" w:color="000000" w:sz="4" w:space="0"/>
              <w:bottom w:val="single" w:color="000000" w:sz="4" w:space="0"/>
              <w:right w:val="single" w:color="000000" w:sz="4" w:space="0"/>
            </w:tcBorders>
            <w:vAlign w:val="center"/>
          </w:tcPr>
          <w:p w14:paraId="7936F0D0">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290.152</w:t>
            </w:r>
          </w:p>
        </w:tc>
        <w:tc>
          <w:tcPr>
            <w:tcW w:w="606" w:type="pct"/>
            <w:tcBorders>
              <w:top w:val="single" w:color="000000" w:sz="4" w:space="0"/>
              <w:left w:val="single" w:color="000000" w:sz="4" w:space="0"/>
              <w:bottom w:val="single" w:color="000000" w:sz="4" w:space="0"/>
              <w:right w:val="single" w:color="000000" w:sz="4" w:space="0"/>
            </w:tcBorders>
            <w:vAlign w:val="center"/>
          </w:tcPr>
          <w:p w14:paraId="4BC142BD">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120BA487">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7CC60626">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53E6EC98">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省道</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vAlign w:val="center"/>
          </w:tcPr>
          <w:p w14:paraId="5D0F68BF">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225.963</w:t>
            </w:r>
          </w:p>
        </w:tc>
        <w:tc>
          <w:tcPr>
            <w:tcW w:w="786" w:type="pct"/>
            <w:tcBorders>
              <w:top w:val="single" w:color="000000" w:sz="4" w:space="0"/>
              <w:left w:val="single" w:color="000000" w:sz="4" w:space="0"/>
              <w:bottom w:val="single" w:color="000000" w:sz="4" w:space="0"/>
              <w:right w:val="single" w:color="000000" w:sz="4" w:space="0"/>
            </w:tcBorders>
            <w:vAlign w:val="center"/>
          </w:tcPr>
          <w:p w14:paraId="333245F3">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266.963</w:t>
            </w:r>
          </w:p>
        </w:tc>
        <w:tc>
          <w:tcPr>
            <w:tcW w:w="606" w:type="pct"/>
            <w:tcBorders>
              <w:top w:val="single" w:color="000000" w:sz="4" w:space="0"/>
              <w:left w:val="single" w:color="000000" w:sz="4" w:space="0"/>
              <w:bottom w:val="single" w:color="000000" w:sz="4" w:space="0"/>
              <w:right w:val="single" w:color="000000" w:sz="4" w:space="0"/>
            </w:tcBorders>
            <w:vAlign w:val="center"/>
          </w:tcPr>
          <w:p w14:paraId="2AB23799">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27FBB10E">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63B38E81">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vAlign w:val="center"/>
          </w:tcPr>
          <w:p w14:paraId="7A6EE54B">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县道</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vAlign w:val="center"/>
          </w:tcPr>
          <w:p w14:paraId="0B5F66CF">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234.412</w:t>
            </w:r>
          </w:p>
        </w:tc>
        <w:tc>
          <w:tcPr>
            <w:tcW w:w="786" w:type="pct"/>
            <w:tcBorders>
              <w:top w:val="single" w:color="000000" w:sz="4" w:space="0"/>
              <w:left w:val="single" w:color="000000" w:sz="4" w:space="0"/>
              <w:bottom w:val="single" w:color="000000" w:sz="4" w:space="0"/>
              <w:right w:val="single" w:color="000000" w:sz="4" w:space="0"/>
            </w:tcBorders>
            <w:vAlign w:val="center"/>
          </w:tcPr>
          <w:p w14:paraId="65F7D0B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247.712</w:t>
            </w:r>
          </w:p>
        </w:tc>
        <w:tc>
          <w:tcPr>
            <w:tcW w:w="606" w:type="pct"/>
            <w:tcBorders>
              <w:top w:val="single" w:color="000000" w:sz="4" w:space="0"/>
              <w:left w:val="single" w:color="000000" w:sz="4" w:space="0"/>
              <w:bottom w:val="single" w:color="000000" w:sz="4" w:space="0"/>
              <w:right w:val="single" w:color="000000" w:sz="4" w:space="0"/>
            </w:tcBorders>
            <w:vAlign w:val="center"/>
          </w:tcPr>
          <w:p w14:paraId="6F0EDB30">
            <w:pPr>
              <w:widowControl/>
              <w:spacing w:line="240" w:lineRule="auto"/>
              <w:ind w:firstLine="0" w:firstLineChars="0"/>
              <w:jc w:val="center"/>
              <w:rPr>
                <w:rFonts w:ascii="仿宋" w:hAnsi="仿宋"/>
                <w:color w:val="000000"/>
                <w:kern w:val="0"/>
                <w:sz w:val="21"/>
                <w:szCs w:val="21"/>
              </w:rPr>
            </w:pPr>
            <w:r>
              <w:rPr>
                <w:rFonts w:hint="eastAsia" w:ascii="仿宋" w:hAnsi="仿宋" w:cs="宋体"/>
                <w:color w:val="000000"/>
                <w:sz w:val="21"/>
                <w:szCs w:val="21"/>
              </w:rPr>
              <w:t>预期性</w:t>
            </w:r>
          </w:p>
        </w:tc>
      </w:tr>
      <w:tr w14:paraId="218B457D">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vAlign w:val="center"/>
          </w:tcPr>
          <w:p w14:paraId="7DC44039">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公路</w:t>
            </w:r>
          </w:p>
        </w:tc>
        <w:tc>
          <w:tcPr>
            <w:tcW w:w="1853" w:type="pct"/>
            <w:tcBorders>
              <w:top w:val="single" w:color="000000" w:sz="4" w:space="0"/>
              <w:left w:val="single" w:color="000000" w:sz="4" w:space="0"/>
              <w:bottom w:val="single" w:color="000000" w:sz="4" w:space="0"/>
              <w:right w:val="single" w:color="000000" w:sz="4" w:space="0"/>
            </w:tcBorders>
            <w:vAlign w:val="center"/>
          </w:tcPr>
          <w:p w14:paraId="6CE0B840">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通屯油路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vAlign w:val="center"/>
          </w:tcPr>
          <w:p w14:paraId="04095EAC">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2949.246</w:t>
            </w:r>
          </w:p>
        </w:tc>
        <w:tc>
          <w:tcPr>
            <w:tcW w:w="786" w:type="pct"/>
            <w:tcBorders>
              <w:top w:val="single" w:color="000000" w:sz="4" w:space="0"/>
              <w:left w:val="single" w:color="000000" w:sz="4" w:space="0"/>
              <w:bottom w:val="single" w:color="000000" w:sz="4" w:space="0"/>
              <w:right w:val="single" w:color="000000" w:sz="4" w:space="0"/>
            </w:tcBorders>
            <w:vAlign w:val="center"/>
          </w:tcPr>
          <w:p w14:paraId="7681A3DA">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2949.246</w:t>
            </w:r>
          </w:p>
        </w:tc>
        <w:tc>
          <w:tcPr>
            <w:tcW w:w="606" w:type="pct"/>
            <w:tcBorders>
              <w:top w:val="single" w:color="000000" w:sz="4" w:space="0"/>
              <w:left w:val="single" w:color="000000" w:sz="4" w:space="0"/>
              <w:bottom w:val="single" w:color="000000" w:sz="4" w:space="0"/>
              <w:right w:val="single" w:color="000000" w:sz="4" w:space="0"/>
            </w:tcBorders>
            <w:vAlign w:val="center"/>
          </w:tcPr>
          <w:p w14:paraId="6677EB50">
            <w:pPr>
              <w:widowControl/>
              <w:spacing w:line="240" w:lineRule="auto"/>
              <w:ind w:firstLine="0" w:firstLineChars="0"/>
              <w:jc w:val="center"/>
              <w:rPr>
                <w:rFonts w:ascii="仿宋" w:hAnsi="仿宋"/>
                <w:color w:val="000000"/>
                <w:kern w:val="0"/>
                <w:sz w:val="21"/>
                <w:szCs w:val="21"/>
              </w:rPr>
            </w:pPr>
            <w:r>
              <w:rPr>
                <w:rFonts w:hint="eastAsia" w:ascii="仿宋" w:hAnsi="仿宋" w:cs="宋体"/>
                <w:color w:val="000000"/>
                <w:sz w:val="21"/>
                <w:szCs w:val="21"/>
              </w:rPr>
              <w:t>预期性</w:t>
            </w:r>
          </w:p>
        </w:tc>
      </w:tr>
      <w:tr w14:paraId="27626C23">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76F595B0">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C7381">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高速公路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7EB5D">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142.95</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D1DE9">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142.95</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1464B">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23040AF5">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05DB39BC">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28B8E">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一级公路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0B183">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55.084</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6A9C9">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101.084</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C4A88">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1662709D">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6D250F21">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C24BCA">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二级公路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650">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583.617</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7BF469">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637.919</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5C48D2">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0E8571DB">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59870615">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145AC">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三级公路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A9C7E">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672.125</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272C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672.125</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EA1070">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329A6FCD">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bottom w:val="single" w:color="000000" w:sz="4" w:space="0"/>
              <w:right w:val="single" w:color="000000" w:sz="4" w:space="0"/>
            </w:tcBorders>
            <w:shd w:val="clear" w:color="auto" w:fill="auto"/>
            <w:vAlign w:val="center"/>
          </w:tcPr>
          <w:p w14:paraId="306D97E1">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86ADA">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四级公路</w:t>
            </w:r>
            <w:r>
              <w:rPr>
                <w:rFonts w:hint="eastAsia" w:ascii="仿宋" w:hAnsi="仿宋"/>
                <w:color w:val="000000"/>
                <w:kern w:val="0"/>
                <w:sz w:val="21"/>
                <w:szCs w:val="21"/>
              </w:rPr>
              <w:t>（里程）</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81E69">
            <w:pPr>
              <w:widowControl/>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2319.22</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38DA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2319.22</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2EA5C5">
            <w:pPr>
              <w:widowControl/>
              <w:spacing w:line="240" w:lineRule="auto"/>
              <w:ind w:firstLine="0" w:firstLineChars="0"/>
              <w:jc w:val="center"/>
              <w:rPr>
                <w:rFonts w:ascii="仿宋" w:hAnsi="仿宋"/>
                <w:color w:val="000000"/>
                <w:sz w:val="21"/>
                <w:szCs w:val="21"/>
              </w:rPr>
            </w:pPr>
            <w:r>
              <w:rPr>
                <w:rFonts w:hint="eastAsia" w:ascii="仿宋" w:hAnsi="仿宋" w:cs="宋体"/>
                <w:color w:val="000000"/>
                <w:sz w:val="21"/>
                <w:szCs w:val="21"/>
              </w:rPr>
              <w:t>预期性</w:t>
            </w:r>
          </w:p>
        </w:tc>
      </w:tr>
      <w:tr w14:paraId="18F28F35">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69BFE143">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1C6B9">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铁路货运量（万吨）</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1529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1020</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EA4B36">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1800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452A0">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6A3846F0">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right w:val="single" w:color="000000" w:sz="4" w:space="0"/>
            </w:tcBorders>
            <w:shd w:val="clear" w:color="auto" w:fill="auto"/>
            <w:vAlign w:val="center"/>
          </w:tcPr>
          <w:p w14:paraId="2C6C97E2">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铁路</w:t>
            </w: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B725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日均旅客发送量（人次）</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E917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3096</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8FEAA8">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4500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A1A1C">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65569BDC">
        <w:tblPrEx>
          <w:tblCellMar>
            <w:top w:w="15" w:type="dxa"/>
            <w:left w:w="108" w:type="dxa"/>
            <w:bottom w:w="15" w:type="dxa"/>
            <w:right w:w="108" w:type="dxa"/>
          </w:tblCellMar>
        </w:tblPrEx>
        <w:trPr>
          <w:cantSplit/>
          <w:trHeight w:val="285" w:hRule="atLeast"/>
          <w:jc w:val="center"/>
        </w:trPr>
        <w:tc>
          <w:tcPr>
            <w:tcW w:w="886" w:type="pct"/>
            <w:tcBorders>
              <w:left w:val="single" w:color="000000" w:sz="4" w:space="0"/>
              <w:bottom w:val="single" w:color="000000" w:sz="4" w:space="0"/>
              <w:right w:val="single" w:color="000000" w:sz="4" w:space="0"/>
            </w:tcBorders>
            <w:shd w:val="clear" w:color="auto" w:fill="auto"/>
            <w:vAlign w:val="center"/>
          </w:tcPr>
          <w:p w14:paraId="0C0649D2">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ABCFA">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日均旅客到达量（人次）</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40ABCC">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3151</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B76F1">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3800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EE07B">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7D67ED1E">
        <w:tblPrEx>
          <w:tblCellMar>
            <w:top w:w="15" w:type="dxa"/>
            <w:left w:w="108" w:type="dxa"/>
            <w:bottom w:w="15" w:type="dxa"/>
            <w:right w:w="108" w:type="dxa"/>
          </w:tblCellMar>
        </w:tblPrEx>
        <w:trPr>
          <w:cantSplit/>
          <w:trHeight w:val="285" w:hRule="atLeast"/>
          <w:jc w:val="center"/>
        </w:trPr>
        <w:tc>
          <w:tcPr>
            <w:tcW w:w="886" w:type="pct"/>
            <w:vMerge w:val="restart"/>
            <w:tcBorders>
              <w:top w:val="single" w:color="000000" w:sz="4" w:space="0"/>
              <w:left w:val="single" w:color="000000" w:sz="4" w:space="0"/>
              <w:right w:val="single" w:color="000000" w:sz="4" w:space="0"/>
            </w:tcBorders>
            <w:shd w:val="clear" w:color="auto" w:fill="auto"/>
            <w:vAlign w:val="center"/>
          </w:tcPr>
          <w:p w14:paraId="46A62435">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公交</w:t>
            </w: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7E48F">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建成区公交站点500米覆盖率（%）</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9843F4">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67.5</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3A0D0">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90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D15BF">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69A2DAED">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17008299">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EF43D">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公交站牌数（个）</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C74A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507</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499EB">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639</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17F06">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56073334">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27B59675">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59D09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公交线路总运营里程（公里）</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4BCCD">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417.85</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EBCCED">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600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192BD">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1B0AAFA8">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6D4423DC">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0A42F">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新能源城市公交车辆占比（%）</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78342">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62</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8328D6">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85</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25383">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36979ECC">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bottom w:val="single" w:color="000000" w:sz="4" w:space="0"/>
              <w:right w:val="single" w:color="000000" w:sz="4" w:space="0"/>
            </w:tcBorders>
            <w:shd w:val="clear" w:color="auto" w:fill="auto"/>
            <w:vAlign w:val="center"/>
          </w:tcPr>
          <w:p w14:paraId="040180C6">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5DD02">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公交智能基础设施使用率（%）</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C6E9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53</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B8108">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90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1D224">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389F679C">
        <w:tblPrEx>
          <w:tblCellMar>
            <w:top w:w="15" w:type="dxa"/>
            <w:left w:w="108" w:type="dxa"/>
            <w:bottom w:w="15" w:type="dxa"/>
            <w:right w:w="108" w:type="dxa"/>
          </w:tblCellMar>
        </w:tblPrEx>
        <w:trPr>
          <w:cantSplit/>
          <w:trHeight w:val="285" w:hRule="atLeast"/>
          <w:jc w:val="center"/>
        </w:trPr>
        <w:tc>
          <w:tcPr>
            <w:tcW w:w="886" w:type="pct"/>
            <w:vMerge w:val="restart"/>
            <w:tcBorders>
              <w:top w:val="single" w:color="000000" w:sz="4" w:space="0"/>
              <w:left w:val="single" w:color="000000" w:sz="4" w:space="0"/>
              <w:right w:val="single" w:color="000000" w:sz="4" w:space="0"/>
            </w:tcBorders>
            <w:shd w:val="clear" w:color="auto" w:fill="auto"/>
            <w:vAlign w:val="center"/>
          </w:tcPr>
          <w:p w14:paraId="71B3CB5A">
            <w:pPr>
              <w:widowControl/>
              <w:spacing w:line="240" w:lineRule="auto"/>
              <w:ind w:firstLine="0" w:firstLineChars="0"/>
              <w:jc w:val="center"/>
              <w:rPr>
                <w:rFonts w:ascii="仿宋" w:hAnsi="仿宋"/>
                <w:b/>
                <w:bCs/>
                <w:color w:val="000000"/>
                <w:kern w:val="0"/>
                <w:sz w:val="21"/>
                <w:szCs w:val="21"/>
              </w:rPr>
            </w:pPr>
            <w:r>
              <w:rPr>
                <w:rFonts w:hint="eastAsia" w:ascii="仿宋" w:hAnsi="仿宋"/>
                <w:b/>
                <w:bCs/>
                <w:color w:val="000000"/>
                <w:kern w:val="0"/>
                <w:sz w:val="21"/>
                <w:szCs w:val="21"/>
              </w:rPr>
              <w:t>港口</w:t>
            </w: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D3455">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港口泊位数（个）</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1D6570">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27</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95B3E">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40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E4664">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3271A981">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56569A1F">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377E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港口货物吞吐量（万吨）</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C585A">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647</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63056">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800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9438F">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21790010">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4D808A90">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081D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港口集装箱货运（标箱）</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91F28A">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29000</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28560">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40000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3ADA3">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5E5C07BC">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3A0421FB">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986E8D">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进出港旅客数（人次）</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6054B">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460000</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95E190">
            <w:pPr>
              <w:widowControl/>
              <w:tabs>
                <w:tab w:val="left" w:pos="430"/>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600000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FB50EA">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0F4CF202">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bottom w:val="single" w:color="auto" w:sz="4" w:space="0"/>
              <w:right w:val="single" w:color="000000" w:sz="4" w:space="0"/>
            </w:tcBorders>
            <w:shd w:val="clear" w:color="auto" w:fill="auto"/>
            <w:vAlign w:val="center"/>
          </w:tcPr>
          <w:p w14:paraId="0BA19243">
            <w:pPr>
              <w:widowControl/>
              <w:spacing w:line="240" w:lineRule="auto"/>
              <w:ind w:firstLine="0" w:firstLineChars="0"/>
              <w:jc w:val="center"/>
              <w:rPr>
                <w:rFonts w:ascii="仿宋" w:hAnsi="仿宋"/>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4DB72">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进出港车辆数（辆次）</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138CB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20000</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A1C53">
            <w:pPr>
              <w:widowControl/>
              <w:spacing w:line="240" w:lineRule="auto"/>
              <w:ind w:firstLine="0" w:firstLineChars="0"/>
              <w:jc w:val="center"/>
              <w:rPr>
                <w:rFonts w:ascii="仿宋" w:hAnsi="仿宋"/>
                <w:color w:val="000000"/>
                <w:sz w:val="21"/>
                <w:szCs w:val="21"/>
              </w:rPr>
            </w:pPr>
            <w:r>
              <w:rPr>
                <w:rFonts w:hint="eastAsia" w:ascii="仿宋" w:hAnsi="仿宋"/>
                <w:color w:val="000000"/>
                <w:sz w:val="21"/>
                <w:szCs w:val="21"/>
              </w:rPr>
              <w:t>30000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D7FD0">
            <w:pPr>
              <w:widowControl/>
              <w:spacing w:line="240" w:lineRule="auto"/>
              <w:ind w:firstLine="0" w:firstLineChars="0"/>
              <w:jc w:val="center"/>
              <w:rPr>
                <w:rFonts w:ascii="仿宋" w:hAnsi="仿宋"/>
                <w:color w:val="000000"/>
                <w:sz w:val="21"/>
                <w:szCs w:val="21"/>
              </w:rPr>
            </w:pPr>
            <w:r>
              <w:rPr>
                <w:rFonts w:hint="eastAsia" w:ascii="仿宋" w:hAnsi="仿宋"/>
                <w:color w:val="000000"/>
                <w:kern w:val="0"/>
                <w:sz w:val="21"/>
                <w:szCs w:val="21"/>
              </w:rPr>
              <w:t>预期性</w:t>
            </w:r>
          </w:p>
        </w:tc>
      </w:tr>
      <w:tr w14:paraId="52BC0073">
        <w:tblPrEx>
          <w:tblCellMar>
            <w:top w:w="15" w:type="dxa"/>
            <w:left w:w="108" w:type="dxa"/>
            <w:bottom w:w="15" w:type="dxa"/>
            <w:right w:w="108" w:type="dxa"/>
          </w:tblCellMar>
        </w:tblPrEx>
        <w:trPr>
          <w:cantSplit/>
          <w:trHeight w:val="285" w:hRule="atLeast"/>
          <w:jc w:val="center"/>
        </w:trPr>
        <w:tc>
          <w:tcPr>
            <w:tcW w:w="886" w:type="pct"/>
            <w:vMerge w:val="restart"/>
            <w:tcBorders>
              <w:top w:val="single" w:color="auto" w:sz="4" w:space="0"/>
              <w:left w:val="single" w:color="000000" w:sz="4" w:space="0"/>
              <w:right w:val="single" w:color="000000" w:sz="4" w:space="0"/>
            </w:tcBorders>
            <w:shd w:val="clear" w:color="auto" w:fill="auto"/>
            <w:vAlign w:val="center"/>
          </w:tcPr>
          <w:p w14:paraId="15ECE6FC">
            <w:pPr>
              <w:widowControl/>
              <w:spacing w:line="240" w:lineRule="auto"/>
              <w:ind w:firstLine="0" w:firstLineChars="0"/>
              <w:jc w:val="center"/>
              <w:rPr>
                <w:rFonts w:ascii="仿宋" w:hAnsi="仿宋"/>
                <w:color w:val="000000"/>
                <w:kern w:val="0"/>
                <w:sz w:val="21"/>
                <w:szCs w:val="21"/>
              </w:rPr>
            </w:pPr>
            <w:r>
              <w:rPr>
                <w:rFonts w:hint="eastAsia" w:ascii="仿宋" w:hAnsi="仿宋"/>
                <w:b/>
                <w:bCs/>
                <w:color w:val="000000"/>
                <w:kern w:val="0"/>
                <w:sz w:val="21"/>
                <w:szCs w:val="21"/>
              </w:rPr>
              <w:t>创新智慧</w:t>
            </w: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661B21">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交通基本要素信息数字化率（%）</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B82B4">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1F256">
            <w:pPr>
              <w:widowControl/>
              <w:tabs>
                <w:tab w:val="left" w:pos="552"/>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100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A708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7BC822EB">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116A1D1D">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B9324">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电子客票率（%）</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888FF">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C6BF7">
            <w:pPr>
              <w:widowControl/>
              <w:tabs>
                <w:tab w:val="left" w:pos="552"/>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70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36A796">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7876A1D2">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47F09445">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5017E">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危险品运输电子运单使用率（%）</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72439">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C59CCF">
            <w:pPr>
              <w:widowControl/>
              <w:tabs>
                <w:tab w:val="left" w:pos="552"/>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80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1DA603">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3EF296A4">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right w:val="single" w:color="000000" w:sz="4" w:space="0"/>
            </w:tcBorders>
            <w:shd w:val="clear" w:color="auto" w:fill="auto"/>
            <w:vAlign w:val="center"/>
          </w:tcPr>
          <w:p w14:paraId="7A2AE23B">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35F5D5">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 xml:space="preserve">“两客一危”等重点领域北斗系统覆盖率（%） </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4C4B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BA69B">
            <w:pPr>
              <w:widowControl/>
              <w:tabs>
                <w:tab w:val="left" w:pos="552"/>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90</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3410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r w14:paraId="3ADF6ECF">
        <w:tblPrEx>
          <w:tblCellMar>
            <w:top w:w="15" w:type="dxa"/>
            <w:left w:w="108" w:type="dxa"/>
            <w:bottom w:w="15" w:type="dxa"/>
            <w:right w:w="108" w:type="dxa"/>
          </w:tblCellMar>
        </w:tblPrEx>
        <w:trPr>
          <w:cantSplit/>
          <w:trHeight w:val="285" w:hRule="atLeast"/>
          <w:jc w:val="center"/>
        </w:trPr>
        <w:tc>
          <w:tcPr>
            <w:tcW w:w="886" w:type="pct"/>
            <w:vMerge w:val="continue"/>
            <w:tcBorders>
              <w:left w:val="single" w:color="000000" w:sz="4" w:space="0"/>
              <w:bottom w:val="single" w:color="000000" w:sz="4" w:space="0"/>
              <w:right w:val="single" w:color="000000" w:sz="4" w:space="0"/>
            </w:tcBorders>
            <w:shd w:val="clear" w:color="auto" w:fill="auto"/>
            <w:vAlign w:val="center"/>
          </w:tcPr>
          <w:p w14:paraId="7B89D709">
            <w:pPr>
              <w:widowControl/>
              <w:spacing w:line="240" w:lineRule="auto"/>
              <w:ind w:firstLine="0" w:firstLineChars="0"/>
              <w:jc w:val="center"/>
              <w:rPr>
                <w:rFonts w:ascii="仿宋" w:hAnsi="仿宋"/>
                <w:b/>
                <w:bCs/>
                <w:color w:val="000000"/>
                <w:kern w:val="0"/>
                <w:sz w:val="21"/>
                <w:szCs w:val="21"/>
              </w:rPr>
            </w:pPr>
          </w:p>
        </w:tc>
        <w:tc>
          <w:tcPr>
            <w:tcW w:w="18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B5CB8">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智慧应用开发（个）</w:t>
            </w:r>
          </w:p>
        </w:tc>
        <w:tc>
          <w:tcPr>
            <w:tcW w:w="8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F0E0C7">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BF55B">
            <w:pPr>
              <w:widowControl/>
              <w:tabs>
                <w:tab w:val="left" w:pos="552"/>
              </w:tabs>
              <w:spacing w:line="240" w:lineRule="auto"/>
              <w:ind w:firstLine="0" w:firstLineChars="0"/>
              <w:jc w:val="center"/>
              <w:rPr>
                <w:rFonts w:ascii="仿宋" w:hAnsi="仿宋"/>
                <w:color w:val="000000"/>
                <w:sz w:val="21"/>
                <w:szCs w:val="21"/>
              </w:rPr>
            </w:pPr>
            <w:r>
              <w:rPr>
                <w:rFonts w:hint="eastAsia" w:ascii="仿宋" w:hAnsi="仿宋"/>
                <w:color w:val="000000"/>
                <w:sz w:val="21"/>
                <w:szCs w:val="21"/>
              </w:rPr>
              <w:t>9</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06D56">
            <w:pPr>
              <w:widowControl/>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预期性</w:t>
            </w:r>
          </w:p>
        </w:tc>
      </w:tr>
    </w:tbl>
    <w:p w14:paraId="1ED6B84F">
      <w:pPr>
        <w:pStyle w:val="2"/>
        <w:ind w:firstLine="560"/>
        <w:sectPr>
          <w:pgSz w:w="11906" w:h="16838"/>
          <w:pgMar w:top="1440" w:right="1418" w:bottom="1440" w:left="1418" w:header="851" w:footer="992" w:gutter="0"/>
          <w:cols w:space="425" w:num="1"/>
          <w:docGrid w:type="lines" w:linePitch="312" w:charSpace="0"/>
        </w:sectPr>
      </w:pPr>
    </w:p>
    <w:p w14:paraId="05AB0DFF">
      <w:pPr>
        <w:pStyle w:val="3"/>
        <w:spacing w:before="0" w:after="220" w:line="360" w:lineRule="auto"/>
        <w:jc w:val="left"/>
        <w:rPr>
          <w:rFonts w:ascii="Times New Roman" w:hAnsi="Times New Roman" w:eastAsia="黑体" w:cs="Times New Roman"/>
          <w:b w:val="0"/>
          <w:sz w:val="30"/>
          <w:szCs w:val="30"/>
        </w:rPr>
      </w:pPr>
      <w:bookmarkStart w:id="18" w:name="_Toc72258214"/>
      <w:r>
        <w:rPr>
          <w:rFonts w:hint="eastAsia" w:ascii="Times New Roman" w:hAnsi="Times New Roman" w:eastAsia="黑体" w:cs="Times New Roman"/>
          <w:b w:val="0"/>
          <w:sz w:val="30"/>
          <w:szCs w:val="30"/>
        </w:rPr>
        <w:t>三、重点项目和主要任务</w:t>
      </w:r>
      <w:bookmarkEnd w:id="18"/>
    </w:p>
    <w:p w14:paraId="6C3DB4CB">
      <w:pPr>
        <w:pStyle w:val="4"/>
        <w:spacing w:before="156" w:beforeLines="50" w:after="0" w:line="360" w:lineRule="auto"/>
        <w:ind w:firstLine="0" w:firstLineChars="0"/>
        <w:rPr>
          <w:rFonts w:ascii="Times New Roman" w:hAnsi="Times New Roman"/>
          <w:b w:val="0"/>
          <w:bCs/>
          <w:sz w:val="28"/>
          <w:szCs w:val="28"/>
        </w:rPr>
      </w:pPr>
      <w:bookmarkStart w:id="19" w:name="_Toc72258215"/>
      <w:r>
        <w:rPr>
          <w:rFonts w:ascii="Times New Roman" w:hAnsi="Times New Roman"/>
          <w:b w:val="0"/>
          <w:bCs/>
          <w:sz w:val="28"/>
          <w:szCs w:val="28"/>
        </w:rPr>
        <w:t>（一）</w:t>
      </w:r>
      <w:r>
        <w:rPr>
          <w:rFonts w:hint="eastAsia" w:ascii="Times New Roman" w:hAnsi="Times New Roman"/>
          <w:b w:val="0"/>
          <w:bCs/>
          <w:sz w:val="28"/>
          <w:szCs w:val="28"/>
        </w:rPr>
        <w:t>优化公交线网布局，推进“绿色交通”发展</w:t>
      </w:r>
      <w:bookmarkEnd w:id="19"/>
    </w:p>
    <w:p w14:paraId="164DC7B6">
      <w:pPr>
        <w:ind w:firstLine="482"/>
        <w:rPr>
          <w:rFonts w:ascii="仿宋" w:hAnsi="仿宋"/>
          <w:sz w:val="24"/>
        </w:rPr>
      </w:pPr>
      <w:r>
        <w:rPr>
          <w:rFonts w:ascii="仿宋" w:hAnsi="仿宋"/>
          <w:b/>
          <w:sz w:val="24"/>
        </w:rPr>
        <w:t>加强城市公交系统布局优化，引导公交城市战略发展</w:t>
      </w:r>
      <w:r>
        <w:rPr>
          <w:rFonts w:ascii="仿宋" w:hAnsi="仿宋"/>
          <w:sz w:val="24"/>
        </w:rPr>
        <w:t>。对庄河市域18条公交线路进行改、扩、新建规划，具体线路情况见表2</w:t>
      </w:r>
      <w:r>
        <w:rPr>
          <w:rFonts w:hint="eastAsia" w:ascii="仿宋" w:hAnsi="仿宋"/>
          <w:sz w:val="24"/>
        </w:rPr>
        <w:t>和图</w:t>
      </w:r>
      <w:r>
        <w:rPr>
          <w:rFonts w:ascii="仿宋" w:hAnsi="仿宋"/>
          <w:sz w:val="24"/>
        </w:rPr>
        <w:t>2：</w:t>
      </w:r>
    </w:p>
    <w:p w14:paraId="40F33D40">
      <w:pPr>
        <w:ind w:firstLine="0" w:firstLineChars="0"/>
        <w:jc w:val="center"/>
        <w:rPr>
          <w:rFonts w:ascii="仿宋" w:hAnsi="仿宋"/>
          <w:bCs/>
          <w:sz w:val="21"/>
          <w:szCs w:val="20"/>
        </w:rPr>
      </w:pPr>
      <w:r>
        <w:rPr>
          <w:rFonts w:ascii="仿宋" w:hAnsi="仿宋"/>
          <w:bCs/>
          <w:sz w:val="21"/>
          <w:szCs w:val="20"/>
        </w:rPr>
        <w:t>表2  庄河市常规公交线路规划方案</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665"/>
        <w:gridCol w:w="882"/>
        <w:gridCol w:w="668"/>
        <w:gridCol w:w="867"/>
        <w:gridCol w:w="522"/>
        <w:gridCol w:w="5106"/>
      </w:tblGrid>
      <w:tr w14:paraId="2EDA1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blHeader/>
        </w:trPr>
        <w:tc>
          <w:tcPr>
            <w:tcW w:w="310" w:type="pct"/>
            <w:vMerge w:val="restart"/>
            <w:shd w:val="clear" w:color="auto" w:fill="auto"/>
            <w:vAlign w:val="center"/>
          </w:tcPr>
          <w:p w14:paraId="1A23E061">
            <w:pPr>
              <w:widowControl/>
              <w:spacing w:line="240" w:lineRule="auto"/>
              <w:ind w:firstLine="0" w:firstLineChars="0"/>
              <w:jc w:val="center"/>
              <w:rPr>
                <w:rFonts w:ascii="仿宋" w:hAnsi="仿宋"/>
                <w:kern w:val="0"/>
                <w:sz w:val="21"/>
                <w:szCs w:val="21"/>
              </w:rPr>
            </w:pPr>
            <w:r>
              <w:rPr>
                <w:rFonts w:ascii="仿宋" w:hAnsi="仿宋"/>
                <w:kern w:val="0"/>
                <w:sz w:val="21"/>
                <w:szCs w:val="21"/>
              </w:rPr>
              <w:t>线路</w:t>
            </w:r>
          </w:p>
        </w:tc>
        <w:tc>
          <w:tcPr>
            <w:tcW w:w="832" w:type="pct"/>
            <w:gridSpan w:val="2"/>
            <w:shd w:val="clear" w:color="auto" w:fill="auto"/>
            <w:vAlign w:val="center"/>
          </w:tcPr>
          <w:p w14:paraId="6D63B8BD">
            <w:pPr>
              <w:widowControl/>
              <w:spacing w:line="240" w:lineRule="auto"/>
              <w:ind w:firstLine="0" w:firstLineChars="0"/>
              <w:jc w:val="center"/>
              <w:rPr>
                <w:rFonts w:ascii="仿宋" w:hAnsi="仿宋"/>
                <w:kern w:val="0"/>
                <w:sz w:val="21"/>
                <w:szCs w:val="21"/>
              </w:rPr>
            </w:pPr>
            <w:r>
              <w:rPr>
                <w:rFonts w:hint="eastAsia" w:ascii="仿宋" w:hAnsi="仿宋"/>
                <w:kern w:val="0"/>
                <w:sz w:val="21"/>
                <w:szCs w:val="21"/>
              </w:rPr>
              <w:t>规划前</w:t>
            </w:r>
          </w:p>
        </w:tc>
        <w:tc>
          <w:tcPr>
            <w:tcW w:w="827" w:type="pct"/>
            <w:gridSpan w:val="2"/>
            <w:shd w:val="clear" w:color="auto" w:fill="auto"/>
            <w:vAlign w:val="center"/>
          </w:tcPr>
          <w:p w14:paraId="25B310CA">
            <w:pPr>
              <w:widowControl/>
              <w:spacing w:line="240" w:lineRule="auto"/>
              <w:ind w:firstLine="0" w:firstLineChars="0"/>
              <w:jc w:val="center"/>
              <w:rPr>
                <w:rFonts w:ascii="仿宋" w:hAnsi="仿宋"/>
                <w:kern w:val="0"/>
                <w:sz w:val="21"/>
                <w:szCs w:val="21"/>
              </w:rPr>
            </w:pPr>
            <w:r>
              <w:rPr>
                <w:rFonts w:ascii="仿宋" w:hAnsi="仿宋"/>
                <w:kern w:val="0"/>
                <w:sz w:val="21"/>
                <w:szCs w:val="21"/>
              </w:rPr>
              <w:t>规划后</w:t>
            </w:r>
          </w:p>
        </w:tc>
        <w:tc>
          <w:tcPr>
            <w:tcW w:w="281" w:type="pct"/>
            <w:vMerge w:val="restart"/>
            <w:shd w:val="clear" w:color="auto" w:fill="auto"/>
            <w:vAlign w:val="center"/>
          </w:tcPr>
          <w:p w14:paraId="6197DF09">
            <w:pPr>
              <w:widowControl/>
              <w:spacing w:line="240" w:lineRule="auto"/>
              <w:ind w:firstLine="0" w:firstLineChars="0"/>
              <w:jc w:val="center"/>
              <w:rPr>
                <w:rFonts w:ascii="仿宋" w:hAnsi="仿宋"/>
                <w:kern w:val="0"/>
                <w:sz w:val="21"/>
                <w:szCs w:val="21"/>
              </w:rPr>
            </w:pPr>
            <w:r>
              <w:rPr>
                <w:rFonts w:ascii="仿宋" w:hAnsi="仿宋"/>
                <w:kern w:val="0"/>
                <w:sz w:val="21"/>
                <w:szCs w:val="21"/>
              </w:rPr>
              <w:t>类型</w:t>
            </w:r>
          </w:p>
        </w:tc>
        <w:tc>
          <w:tcPr>
            <w:tcW w:w="2750" w:type="pct"/>
            <w:vMerge w:val="restart"/>
            <w:shd w:val="clear" w:color="auto" w:fill="auto"/>
            <w:vAlign w:val="center"/>
          </w:tcPr>
          <w:p w14:paraId="1A544B51">
            <w:pPr>
              <w:widowControl/>
              <w:spacing w:line="240" w:lineRule="auto"/>
              <w:ind w:firstLine="0" w:firstLineChars="0"/>
              <w:jc w:val="center"/>
              <w:rPr>
                <w:rFonts w:ascii="仿宋" w:hAnsi="仿宋"/>
                <w:kern w:val="0"/>
                <w:sz w:val="21"/>
                <w:szCs w:val="21"/>
              </w:rPr>
            </w:pPr>
            <w:r>
              <w:rPr>
                <w:rFonts w:ascii="仿宋" w:hAnsi="仿宋"/>
                <w:kern w:val="0"/>
                <w:sz w:val="21"/>
                <w:szCs w:val="21"/>
              </w:rPr>
              <w:t>规划后详细站点</w:t>
            </w:r>
          </w:p>
        </w:tc>
      </w:tr>
      <w:tr w14:paraId="0E5CF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10" w:type="pct"/>
            <w:vMerge w:val="continue"/>
            <w:shd w:val="clear" w:color="auto" w:fill="auto"/>
            <w:vAlign w:val="center"/>
          </w:tcPr>
          <w:p w14:paraId="00A0C3EC">
            <w:pPr>
              <w:widowControl/>
              <w:spacing w:line="240" w:lineRule="auto"/>
              <w:ind w:firstLine="0" w:firstLineChars="0"/>
              <w:jc w:val="center"/>
              <w:rPr>
                <w:rFonts w:ascii="仿宋" w:hAnsi="仿宋"/>
                <w:kern w:val="0"/>
                <w:sz w:val="21"/>
                <w:szCs w:val="21"/>
              </w:rPr>
            </w:pPr>
          </w:p>
        </w:tc>
        <w:tc>
          <w:tcPr>
            <w:tcW w:w="358" w:type="pct"/>
            <w:shd w:val="clear" w:color="auto" w:fill="auto"/>
            <w:vAlign w:val="center"/>
          </w:tcPr>
          <w:p w14:paraId="3288D388">
            <w:pPr>
              <w:widowControl/>
              <w:spacing w:line="240" w:lineRule="auto"/>
              <w:ind w:firstLine="0" w:firstLineChars="0"/>
              <w:jc w:val="center"/>
              <w:rPr>
                <w:rFonts w:ascii="仿宋" w:hAnsi="仿宋"/>
                <w:kern w:val="0"/>
                <w:sz w:val="21"/>
                <w:szCs w:val="21"/>
              </w:rPr>
            </w:pPr>
            <w:r>
              <w:rPr>
                <w:rFonts w:ascii="仿宋" w:hAnsi="仿宋"/>
                <w:kern w:val="0"/>
                <w:sz w:val="21"/>
                <w:szCs w:val="21"/>
              </w:rPr>
              <w:t>首末站</w:t>
            </w:r>
          </w:p>
        </w:tc>
        <w:tc>
          <w:tcPr>
            <w:tcW w:w="475" w:type="pct"/>
            <w:shd w:val="clear" w:color="auto" w:fill="auto"/>
            <w:vAlign w:val="center"/>
          </w:tcPr>
          <w:p w14:paraId="4627D4FC">
            <w:pPr>
              <w:widowControl/>
              <w:spacing w:line="240" w:lineRule="auto"/>
              <w:ind w:firstLine="0" w:firstLineChars="0"/>
              <w:jc w:val="center"/>
              <w:rPr>
                <w:rFonts w:ascii="仿宋" w:hAnsi="仿宋"/>
                <w:kern w:val="0"/>
                <w:sz w:val="21"/>
                <w:szCs w:val="21"/>
              </w:rPr>
            </w:pPr>
            <w:r>
              <w:rPr>
                <w:rFonts w:ascii="仿宋" w:hAnsi="仿宋"/>
                <w:kern w:val="0"/>
                <w:sz w:val="21"/>
                <w:szCs w:val="21"/>
              </w:rPr>
              <w:t>线长（km）</w:t>
            </w:r>
          </w:p>
        </w:tc>
        <w:tc>
          <w:tcPr>
            <w:tcW w:w="360" w:type="pct"/>
            <w:shd w:val="clear" w:color="auto" w:fill="auto"/>
            <w:vAlign w:val="center"/>
          </w:tcPr>
          <w:p w14:paraId="01229EF4">
            <w:pPr>
              <w:widowControl/>
              <w:spacing w:line="240" w:lineRule="auto"/>
              <w:ind w:firstLine="0" w:firstLineChars="0"/>
              <w:jc w:val="center"/>
              <w:rPr>
                <w:rFonts w:ascii="仿宋" w:hAnsi="仿宋"/>
                <w:kern w:val="0"/>
                <w:sz w:val="21"/>
                <w:szCs w:val="21"/>
              </w:rPr>
            </w:pPr>
            <w:r>
              <w:rPr>
                <w:rFonts w:ascii="仿宋" w:hAnsi="仿宋"/>
                <w:kern w:val="0"/>
                <w:sz w:val="21"/>
                <w:szCs w:val="21"/>
              </w:rPr>
              <w:t>首末站</w:t>
            </w:r>
          </w:p>
        </w:tc>
        <w:tc>
          <w:tcPr>
            <w:tcW w:w="467" w:type="pct"/>
            <w:shd w:val="clear" w:color="auto" w:fill="auto"/>
            <w:vAlign w:val="center"/>
          </w:tcPr>
          <w:p w14:paraId="2838B8E1">
            <w:pPr>
              <w:widowControl/>
              <w:spacing w:line="240" w:lineRule="auto"/>
              <w:ind w:firstLine="0" w:firstLineChars="0"/>
              <w:jc w:val="center"/>
              <w:rPr>
                <w:rFonts w:ascii="仿宋" w:hAnsi="仿宋"/>
                <w:kern w:val="0"/>
                <w:sz w:val="21"/>
                <w:szCs w:val="21"/>
              </w:rPr>
            </w:pPr>
            <w:r>
              <w:rPr>
                <w:rFonts w:ascii="仿宋" w:hAnsi="仿宋"/>
                <w:kern w:val="0"/>
                <w:sz w:val="21"/>
                <w:szCs w:val="21"/>
              </w:rPr>
              <w:t>线长（km）</w:t>
            </w:r>
          </w:p>
        </w:tc>
        <w:tc>
          <w:tcPr>
            <w:tcW w:w="281" w:type="pct"/>
            <w:vMerge w:val="continue"/>
            <w:shd w:val="clear" w:color="auto" w:fill="auto"/>
            <w:vAlign w:val="center"/>
          </w:tcPr>
          <w:p w14:paraId="23195919">
            <w:pPr>
              <w:widowControl/>
              <w:spacing w:line="240" w:lineRule="auto"/>
              <w:ind w:firstLine="0" w:firstLineChars="0"/>
              <w:jc w:val="center"/>
              <w:rPr>
                <w:rFonts w:ascii="仿宋" w:hAnsi="仿宋"/>
                <w:kern w:val="0"/>
                <w:sz w:val="21"/>
                <w:szCs w:val="21"/>
              </w:rPr>
            </w:pPr>
          </w:p>
        </w:tc>
        <w:tc>
          <w:tcPr>
            <w:tcW w:w="2750" w:type="pct"/>
            <w:vMerge w:val="continue"/>
            <w:shd w:val="clear" w:color="auto" w:fill="auto"/>
            <w:vAlign w:val="center"/>
          </w:tcPr>
          <w:p w14:paraId="1E7BCC65">
            <w:pPr>
              <w:widowControl/>
              <w:spacing w:line="240" w:lineRule="auto"/>
              <w:ind w:firstLine="0" w:firstLineChars="0"/>
              <w:jc w:val="center"/>
              <w:rPr>
                <w:rFonts w:ascii="仿宋" w:hAnsi="仿宋"/>
                <w:kern w:val="0"/>
                <w:sz w:val="21"/>
                <w:szCs w:val="21"/>
              </w:rPr>
            </w:pPr>
          </w:p>
        </w:tc>
      </w:tr>
      <w:tr w14:paraId="7E6C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1" w:hRule="atLeast"/>
        </w:trPr>
        <w:tc>
          <w:tcPr>
            <w:tcW w:w="310" w:type="pct"/>
            <w:shd w:val="clear" w:color="auto" w:fill="auto"/>
            <w:noWrap/>
            <w:vAlign w:val="center"/>
          </w:tcPr>
          <w:p w14:paraId="1EC77D1A">
            <w:pPr>
              <w:widowControl/>
              <w:spacing w:line="240" w:lineRule="auto"/>
              <w:ind w:firstLine="0" w:firstLineChars="0"/>
              <w:jc w:val="center"/>
              <w:rPr>
                <w:rFonts w:ascii="仿宋" w:hAnsi="仿宋"/>
                <w:kern w:val="0"/>
                <w:sz w:val="21"/>
                <w:szCs w:val="21"/>
              </w:rPr>
            </w:pPr>
            <w:r>
              <w:rPr>
                <w:rFonts w:ascii="仿宋" w:hAnsi="仿宋"/>
                <w:kern w:val="0"/>
                <w:sz w:val="21"/>
                <w:szCs w:val="21"/>
              </w:rPr>
              <w:t>103路</w:t>
            </w:r>
          </w:p>
        </w:tc>
        <w:tc>
          <w:tcPr>
            <w:tcW w:w="358" w:type="pct"/>
            <w:shd w:val="clear" w:color="auto" w:fill="auto"/>
            <w:noWrap/>
            <w:vAlign w:val="center"/>
          </w:tcPr>
          <w:p w14:paraId="66170E78">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大学城西门—冯屯村委会</w:t>
            </w:r>
          </w:p>
        </w:tc>
        <w:tc>
          <w:tcPr>
            <w:tcW w:w="475" w:type="pct"/>
            <w:shd w:val="clear" w:color="auto" w:fill="auto"/>
            <w:noWrap/>
            <w:vAlign w:val="center"/>
          </w:tcPr>
          <w:p w14:paraId="1D9306BF">
            <w:pPr>
              <w:widowControl/>
              <w:spacing w:line="240" w:lineRule="auto"/>
              <w:ind w:firstLine="0" w:firstLineChars="0"/>
              <w:jc w:val="center"/>
              <w:rPr>
                <w:rFonts w:ascii="仿宋" w:hAnsi="仿宋"/>
                <w:kern w:val="0"/>
                <w:sz w:val="21"/>
                <w:szCs w:val="21"/>
              </w:rPr>
            </w:pPr>
            <w:r>
              <w:rPr>
                <w:rFonts w:ascii="仿宋" w:hAnsi="仿宋"/>
                <w:kern w:val="0"/>
                <w:sz w:val="21"/>
                <w:szCs w:val="21"/>
              </w:rPr>
              <w:t>16.15</w:t>
            </w:r>
          </w:p>
        </w:tc>
        <w:tc>
          <w:tcPr>
            <w:tcW w:w="360" w:type="pct"/>
            <w:shd w:val="clear" w:color="auto" w:fill="auto"/>
            <w:noWrap/>
            <w:vAlign w:val="center"/>
          </w:tcPr>
          <w:p w14:paraId="2C7693D2">
            <w:pPr>
              <w:widowControl/>
              <w:spacing w:line="240" w:lineRule="auto"/>
              <w:ind w:firstLine="0" w:firstLineChars="0"/>
              <w:jc w:val="center"/>
              <w:rPr>
                <w:rFonts w:ascii="仿宋" w:hAnsi="仿宋"/>
                <w:kern w:val="0"/>
                <w:sz w:val="21"/>
                <w:szCs w:val="21"/>
              </w:rPr>
            </w:pPr>
            <w:r>
              <w:rPr>
                <w:rFonts w:ascii="仿宋" w:hAnsi="仿宋"/>
                <w:kern w:val="0"/>
                <w:sz w:val="21"/>
                <w:szCs w:val="21"/>
              </w:rPr>
              <w:t>高屯车场</w:t>
            </w:r>
          </w:p>
          <w:p w14:paraId="5C11AF3C">
            <w:pPr>
              <w:widowControl/>
              <w:spacing w:line="240" w:lineRule="auto"/>
              <w:ind w:firstLine="0" w:firstLineChars="0"/>
              <w:jc w:val="center"/>
              <w:rPr>
                <w:rFonts w:ascii="仿宋" w:hAnsi="仿宋"/>
                <w:sz w:val="21"/>
                <w:szCs w:val="21"/>
              </w:rPr>
            </w:pPr>
            <w:r>
              <w:rPr>
                <w:rFonts w:ascii="仿宋" w:hAnsi="仿宋"/>
                <w:sz w:val="21"/>
                <w:szCs w:val="21"/>
              </w:rPr>
              <w:t>—</w:t>
            </w:r>
          </w:p>
          <w:p w14:paraId="2D7C89BC">
            <w:pPr>
              <w:widowControl/>
              <w:spacing w:line="240" w:lineRule="auto"/>
              <w:ind w:firstLine="0" w:firstLineChars="0"/>
              <w:jc w:val="center"/>
              <w:rPr>
                <w:rFonts w:ascii="仿宋" w:hAnsi="仿宋"/>
                <w:kern w:val="0"/>
                <w:sz w:val="21"/>
                <w:szCs w:val="21"/>
              </w:rPr>
            </w:pPr>
            <w:r>
              <w:rPr>
                <w:rFonts w:ascii="仿宋" w:hAnsi="仿宋"/>
                <w:kern w:val="0"/>
                <w:sz w:val="21"/>
                <w:szCs w:val="21"/>
              </w:rPr>
              <w:t>宝峰机械</w:t>
            </w:r>
          </w:p>
        </w:tc>
        <w:tc>
          <w:tcPr>
            <w:tcW w:w="467" w:type="pct"/>
            <w:shd w:val="clear" w:color="auto" w:fill="auto"/>
            <w:noWrap/>
            <w:vAlign w:val="center"/>
          </w:tcPr>
          <w:p w14:paraId="1DBCAB38">
            <w:pPr>
              <w:widowControl/>
              <w:spacing w:line="240" w:lineRule="auto"/>
              <w:ind w:firstLine="0" w:firstLineChars="0"/>
              <w:jc w:val="center"/>
              <w:rPr>
                <w:rFonts w:ascii="仿宋" w:hAnsi="仿宋"/>
                <w:kern w:val="0"/>
                <w:sz w:val="21"/>
                <w:szCs w:val="21"/>
              </w:rPr>
            </w:pPr>
            <w:r>
              <w:rPr>
                <w:rFonts w:ascii="仿宋" w:hAnsi="仿宋"/>
                <w:kern w:val="0"/>
                <w:sz w:val="21"/>
                <w:szCs w:val="21"/>
              </w:rPr>
              <w:t>13.35</w:t>
            </w:r>
          </w:p>
        </w:tc>
        <w:tc>
          <w:tcPr>
            <w:tcW w:w="281" w:type="pct"/>
            <w:shd w:val="clear" w:color="auto" w:fill="auto"/>
            <w:noWrap/>
            <w:vAlign w:val="center"/>
          </w:tcPr>
          <w:p w14:paraId="6A01467A">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4DF9ACEE">
            <w:pPr>
              <w:widowControl/>
              <w:spacing w:line="240" w:lineRule="auto"/>
              <w:ind w:firstLine="0" w:firstLineChars="0"/>
              <w:jc w:val="center"/>
              <w:rPr>
                <w:rFonts w:ascii="仿宋" w:hAnsi="仿宋"/>
                <w:kern w:val="0"/>
                <w:sz w:val="21"/>
                <w:szCs w:val="21"/>
              </w:rPr>
            </w:pPr>
            <w:r>
              <w:rPr>
                <w:rFonts w:ascii="仿宋" w:hAnsi="仿宋"/>
                <w:kern w:val="0"/>
                <w:sz w:val="21"/>
                <w:szCs w:val="21"/>
              </w:rPr>
              <w:t>高屯车场—中心小学—电管站—董屯—方圆电缆—百汇电缆—六高中—二高中—侯屯—交运检测线—小寺—西山湖畔—昌盛大桥—帝璟河畔—昌盛花园—电视台—书香苑小区—文化街—庄河大厦—向阳桥—光明街—华宸佳园—光明小区—迎宾大街—三环大街—畅通汽车—天发市场—日语学校—新华工业园—高速西口—金威制衣—小衣屯—交警大队—王岚东站—汽贸集团—王岚—冯屯村委会</w:t>
            </w:r>
          </w:p>
        </w:tc>
      </w:tr>
      <w:tr w14:paraId="24DC8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0" w:hRule="atLeast"/>
        </w:trPr>
        <w:tc>
          <w:tcPr>
            <w:tcW w:w="310" w:type="pct"/>
            <w:shd w:val="clear" w:color="auto" w:fill="auto"/>
            <w:noWrap/>
            <w:vAlign w:val="center"/>
          </w:tcPr>
          <w:p w14:paraId="136AD815">
            <w:pPr>
              <w:widowControl/>
              <w:spacing w:line="240" w:lineRule="auto"/>
              <w:ind w:firstLine="0" w:firstLineChars="0"/>
              <w:jc w:val="center"/>
              <w:rPr>
                <w:rFonts w:ascii="仿宋" w:hAnsi="仿宋"/>
                <w:kern w:val="0"/>
                <w:sz w:val="21"/>
                <w:szCs w:val="21"/>
              </w:rPr>
            </w:pPr>
            <w:r>
              <w:rPr>
                <w:rFonts w:ascii="仿宋" w:hAnsi="仿宋"/>
                <w:kern w:val="0"/>
                <w:sz w:val="21"/>
                <w:szCs w:val="21"/>
              </w:rPr>
              <w:t>104路</w:t>
            </w:r>
          </w:p>
        </w:tc>
        <w:tc>
          <w:tcPr>
            <w:tcW w:w="358" w:type="pct"/>
            <w:shd w:val="clear" w:color="auto" w:fill="auto"/>
            <w:noWrap/>
            <w:vAlign w:val="center"/>
          </w:tcPr>
          <w:p w14:paraId="04F06258">
            <w:pPr>
              <w:widowControl/>
              <w:spacing w:line="240" w:lineRule="auto"/>
              <w:ind w:firstLine="0" w:firstLineChars="0"/>
              <w:jc w:val="center"/>
              <w:rPr>
                <w:rFonts w:ascii="仿宋" w:hAnsi="仿宋"/>
                <w:kern w:val="0"/>
                <w:sz w:val="21"/>
                <w:szCs w:val="21"/>
              </w:rPr>
            </w:pPr>
            <w:r>
              <w:rPr>
                <w:rFonts w:ascii="仿宋" w:hAnsi="仿宋"/>
                <w:kern w:val="0"/>
                <w:sz w:val="21"/>
                <w:szCs w:val="21"/>
              </w:rPr>
              <w:t>兰店车场—兰店车场</w:t>
            </w:r>
          </w:p>
        </w:tc>
        <w:tc>
          <w:tcPr>
            <w:tcW w:w="475" w:type="pct"/>
            <w:shd w:val="clear" w:color="auto" w:fill="auto"/>
            <w:noWrap/>
            <w:vAlign w:val="center"/>
          </w:tcPr>
          <w:p w14:paraId="14F96CBD">
            <w:pPr>
              <w:widowControl/>
              <w:spacing w:line="240" w:lineRule="auto"/>
              <w:ind w:firstLine="0" w:firstLineChars="0"/>
              <w:jc w:val="center"/>
              <w:rPr>
                <w:rFonts w:ascii="仿宋" w:hAnsi="仿宋"/>
                <w:kern w:val="0"/>
                <w:sz w:val="21"/>
                <w:szCs w:val="21"/>
              </w:rPr>
            </w:pPr>
            <w:r>
              <w:rPr>
                <w:rFonts w:ascii="仿宋" w:hAnsi="仿宋"/>
                <w:kern w:val="0"/>
                <w:sz w:val="21"/>
                <w:szCs w:val="21"/>
              </w:rPr>
              <w:t>29.2</w:t>
            </w:r>
          </w:p>
        </w:tc>
        <w:tc>
          <w:tcPr>
            <w:tcW w:w="360" w:type="pct"/>
            <w:shd w:val="clear" w:color="auto" w:fill="auto"/>
            <w:noWrap/>
            <w:vAlign w:val="center"/>
          </w:tcPr>
          <w:p w14:paraId="3FCD4CED">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老客运站—老客运站</w:t>
            </w:r>
          </w:p>
        </w:tc>
        <w:tc>
          <w:tcPr>
            <w:tcW w:w="467" w:type="pct"/>
            <w:shd w:val="clear" w:color="auto" w:fill="auto"/>
            <w:noWrap/>
            <w:vAlign w:val="center"/>
          </w:tcPr>
          <w:p w14:paraId="420CF7C4">
            <w:pPr>
              <w:widowControl/>
              <w:spacing w:line="240" w:lineRule="auto"/>
              <w:ind w:firstLine="0" w:firstLineChars="0"/>
              <w:jc w:val="center"/>
              <w:rPr>
                <w:rFonts w:ascii="仿宋" w:hAnsi="仿宋"/>
                <w:kern w:val="0"/>
                <w:sz w:val="21"/>
                <w:szCs w:val="21"/>
              </w:rPr>
            </w:pPr>
            <w:r>
              <w:rPr>
                <w:rFonts w:ascii="仿宋" w:hAnsi="仿宋"/>
                <w:kern w:val="0"/>
                <w:sz w:val="21"/>
                <w:szCs w:val="21"/>
              </w:rPr>
              <w:t>15</w:t>
            </w:r>
          </w:p>
        </w:tc>
        <w:tc>
          <w:tcPr>
            <w:tcW w:w="281" w:type="pct"/>
            <w:shd w:val="clear" w:color="auto" w:fill="auto"/>
            <w:noWrap/>
            <w:vAlign w:val="center"/>
          </w:tcPr>
          <w:p w14:paraId="0689E19D">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72A0FB7B">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光明小区—华宸佳园—华丰大厦—博金大世界—人民浴池—黄海大街—市委党校—东风小学—昌盛街—国奥花园—颐养中心—三十一中—九洲医院—鑫兴紫韵—巴黎春田—水仙公馆—中心医院—万达广场—中心医院—医院住院部—美好家居—黄海明珠—华博酒店—世纪广场—未来新家园—三十中—少年宫—新华路小学—新华广场—中医院—烟草公司—新华派出所—红光市场—木兰小区—光明小区—老客运站</w:t>
            </w:r>
          </w:p>
        </w:tc>
      </w:tr>
      <w:tr w14:paraId="611EF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4" w:hRule="atLeast"/>
        </w:trPr>
        <w:tc>
          <w:tcPr>
            <w:tcW w:w="310" w:type="pct"/>
            <w:shd w:val="clear" w:color="auto" w:fill="auto"/>
            <w:noWrap/>
            <w:vAlign w:val="center"/>
          </w:tcPr>
          <w:p w14:paraId="3B438603">
            <w:pPr>
              <w:widowControl/>
              <w:spacing w:line="240" w:lineRule="auto"/>
              <w:ind w:firstLine="0" w:firstLineChars="0"/>
              <w:jc w:val="center"/>
              <w:rPr>
                <w:rFonts w:ascii="仿宋" w:hAnsi="仿宋"/>
                <w:kern w:val="0"/>
                <w:sz w:val="21"/>
                <w:szCs w:val="21"/>
              </w:rPr>
            </w:pPr>
            <w:r>
              <w:rPr>
                <w:rFonts w:ascii="仿宋" w:hAnsi="仿宋"/>
                <w:kern w:val="0"/>
                <w:sz w:val="21"/>
                <w:szCs w:val="21"/>
              </w:rPr>
              <w:t>115路</w:t>
            </w:r>
          </w:p>
        </w:tc>
        <w:tc>
          <w:tcPr>
            <w:tcW w:w="358" w:type="pct"/>
            <w:shd w:val="clear" w:color="auto" w:fill="auto"/>
            <w:noWrap/>
            <w:vAlign w:val="center"/>
          </w:tcPr>
          <w:p w14:paraId="2878E3C7">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475" w:type="pct"/>
            <w:shd w:val="clear" w:color="auto" w:fill="auto"/>
            <w:noWrap/>
            <w:vAlign w:val="center"/>
          </w:tcPr>
          <w:p w14:paraId="40C71618">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360" w:type="pct"/>
            <w:shd w:val="clear" w:color="auto" w:fill="auto"/>
            <w:noWrap/>
            <w:vAlign w:val="center"/>
          </w:tcPr>
          <w:p w14:paraId="30A77787">
            <w:pPr>
              <w:widowControl/>
              <w:spacing w:line="240" w:lineRule="auto"/>
              <w:ind w:firstLine="0" w:firstLineChars="0"/>
              <w:jc w:val="center"/>
              <w:rPr>
                <w:rFonts w:ascii="仿宋" w:hAnsi="仿宋"/>
                <w:kern w:val="0"/>
                <w:sz w:val="21"/>
                <w:szCs w:val="21"/>
              </w:rPr>
            </w:pPr>
            <w:r>
              <w:rPr>
                <w:rFonts w:ascii="仿宋" w:hAnsi="仿宋"/>
                <w:kern w:val="0"/>
                <w:sz w:val="21"/>
                <w:szCs w:val="21"/>
              </w:rPr>
              <w:t>云山车场—兰店车场</w:t>
            </w:r>
          </w:p>
        </w:tc>
        <w:tc>
          <w:tcPr>
            <w:tcW w:w="467" w:type="pct"/>
            <w:shd w:val="clear" w:color="auto" w:fill="auto"/>
            <w:noWrap/>
            <w:vAlign w:val="center"/>
          </w:tcPr>
          <w:p w14:paraId="23A14399">
            <w:pPr>
              <w:widowControl/>
              <w:spacing w:line="240" w:lineRule="auto"/>
              <w:ind w:firstLine="0" w:firstLineChars="0"/>
              <w:jc w:val="center"/>
              <w:rPr>
                <w:rFonts w:ascii="仿宋" w:hAnsi="仿宋"/>
                <w:kern w:val="0"/>
                <w:sz w:val="21"/>
                <w:szCs w:val="21"/>
              </w:rPr>
            </w:pPr>
            <w:r>
              <w:rPr>
                <w:rFonts w:ascii="仿宋" w:hAnsi="仿宋"/>
                <w:kern w:val="0"/>
                <w:sz w:val="21"/>
                <w:szCs w:val="21"/>
              </w:rPr>
              <w:t>17.8</w:t>
            </w:r>
          </w:p>
        </w:tc>
        <w:tc>
          <w:tcPr>
            <w:tcW w:w="281" w:type="pct"/>
            <w:shd w:val="clear" w:color="auto" w:fill="auto"/>
            <w:noWrap/>
            <w:vAlign w:val="center"/>
          </w:tcPr>
          <w:p w14:paraId="7CAAF7FB">
            <w:pPr>
              <w:widowControl/>
              <w:spacing w:line="240" w:lineRule="auto"/>
              <w:ind w:firstLine="0" w:firstLineChars="0"/>
              <w:jc w:val="center"/>
              <w:rPr>
                <w:rFonts w:ascii="仿宋" w:hAnsi="仿宋"/>
                <w:kern w:val="0"/>
                <w:sz w:val="21"/>
                <w:szCs w:val="21"/>
              </w:rPr>
            </w:pPr>
            <w:r>
              <w:rPr>
                <w:rFonts w:ascii="仿宋" w:hAnsi="仿宋"/>
                <w:kern w:val="0"/>
                <w:sz w:val="21"/>
                <w:szCs w:val="21"/>
              </w:rPr>
              <w:t>新建</w:t>
            </w:r>
          </w:p>
        </w:tc>
        <w:tc>
          <w:tcPr>
            <w:tcW w:w="2750" w:type="pct"/>
            <w:shd w:val="clear" w:color="auto" w:fill="auto"/>
            <w:noWrap/>
            <w:vAlign w:val="center"/>
          </w:tcPr>
          <w:p w14:paraId="45F84940">
            <w:pPr>
              <w:widowControl/>
              <w:spacing w:line="240" w:lineRule="auto"/>
              <w:ind w:firstLine="0" w:firstLineChars="0"/>
              <w:jc w:val="center"/>
              <w:rPr>
                <w:rFonts w:ascii="仿宋" w:hAnsi="仿宋"/>
                <w:kern w:val="0"/>
                <w:sz w:val="21"/>
                <w:szCs w:val="21"/>
              </w:rPr>
            </w:pPr>
            <w:r>
              <w:rPr>
                <w:rFonts w:ascii="仿宋" w:hAnsi="仿宋"/>
                <w:kern w:val="0"/>
                <w:sz w:val="21"/>
                <w:szCs w:val="21"/>
              </w:rPr>
              <w:t>云山机械厂—尹店—市场村—新大地—大王屯—大姜屯—御圣园酒业—养老院—藏屯—小姜屯—暖水—王沟西站—小王沟—河西早市—客运站—红光游园—红光市场—新华派出所—仁爱门诊—庄河大厦—光明街—华宸佳园—光明小区—迎宾大街—一次变—铝箔厂—大宇电子—老庙岭—庄河一中—农机驾校—后炮三队—后炮村—后炮四队—光荣院—大东市场—庙下—常压锅炉厂—杨屯—林西—林东—兰店卫生所—兰店市场—兰店乡政府—兰店车场</w:t>
            </w:r>
          </w:p>
        </w:tc>
      </w:tr>
      <w:tr w14:paraId="48DB8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0" w:hRule="atLeast"/>
        </w:trPr>
        <w:tc>
          <w:tcPr>
            <w:tcW w:w="310" w:type="pct"/>
            <w:shd w:val="clear" w:color="auto" w:fill="auto"/>
            <w:noWrap/>
            <w:vAlign w:val="center"/>
          </w:tcPr>
          <w:p w14:paraId="7C635B8F">
            <w:pPr>
              <w:widowControl/>
              <w:spacing w:line="240" w:lineRule="auto"/>
              <w:ind w:firstLine="0" w:firstLineChars="0"/>
              <w:jc w:val="center"/>
              <w:rPr>
                <w:rFonts w:ascii="仿宋" w:hAnsi="仿宋"/>
                <w:kern w:val="0"/>
                <w:sz w:val="21"/>
                <w:szCs w:val="21"/>
              </w:rPr>
            </w:pPr>
            <w:r>
              <w:rPr>
                <w:rFonts w:ascii="仿宋" w:hAnsi="仿宋"/>
                <w:kern w:val="0"/>
                <w:sz w:val="21"/>
                <w:szCs w:val="21"/>
              </w:rPr>
              <w:t>106路</w:t>
            </w:r>
          </w:p>
        </w:tc>
        <w:tc>
          <w:tcPr>
            <w:tcW w:w="358" w:type="pct"/>
            <w:shd w:val="clear" w:color="auto" w:fill="auto"/>
            <w:noWrap/>
            <w:vAlign w:val="center"/>
          </w:tcPr>
          <w:p w14:paraId="0ABC6E78">
            <w:pPr>
              <w:widowControl/>
              <w:spacing w:line="240" w:lineRule="auto"/>
              <w:ind w:firstLine="0" w:firstLineChars="0"/>
              <w:jc w:val="center"/>
              <w:rPr>
                <w:rFonts w:ascii="仿宋" w:hAnsi="仿宋"/>
                <w:kern w:val="0"/>
                <w:sz w:val="21"/>
                <w:szCs w:val="21"/>
              </w:rPr>
            </w:pPr>
            <w:r>
              <w:rPr>
                <w:rFonts w:ascii="仿宋" w:hAnsi="仿宋"/>
                <w:kern w:val="0"/>
                <w:sz w:val="21"/>
                <w:szCs w:val="21"/>
              </w:rPr>
              <w:t>客运站—大学城西站</w:t>
            </w:r>
          </w:p>
          <w:p w14:paraId="79E6AC42">
            <w:pPr>
              <w:widowControl/>
              <w:spacing w:line="240" w:lineRule="auto"/>
              <w:ind w:firstLine="0" w:firstLineChars="0"/>
              <w:jc w:val="center"/>
              <w:rPr>
                <w:rFonts w:ascii="仿宋" w:hAnsi="仿宋"/>
                <w:kern w:val="0"/>
                <w:sz w:val="21"/>
                <w:szCs w:val="21"/>
              </w:rPr>
            </w:pPr>
          </w:p>
        </w:tc>
        <w:tc>
          <w:tcPr>
            <w:tcW w:w="475" w:type="pct"/>
            <w:shd w:val="clear" w:color="auto" w:fill="auto"/>
            <w:noWrap/>
            <w:vAlign w:val="center"/>
          </w:tcPr>
          <w:p w14:paraId="216B68CC">
            <w:pPr>
              <w:widowControl/>
              <w:spacing w:line="240" w:lineRule="auto"/>
              <w:ind w:firstLine="0" w:firstLineChars="0"/>
              <w:jc w:val="center"/>
              <w:rPr>
                <w:rFonts w:ascii="仿宋" w:hAnsi="仿宋"/>
                <w:kern w:val="0"/>
                <w:sz w:val="21"/>
                <w:szCs w:val="21"/>
              </w:rPr>
            </w:pPr>
            <w:r>
              <w:rPr>
                <w:rFonts w:ascii="仿宋" w:hAnsi="仿宋"/>
                <w:kern w:val="0"/>
                <w:sz w:val="21"/>
                <w:szCs w:val="21"/>
              </w:rPr>
              <w:t>18.5</w:t>
            </w:r>
          </w:p>
        </w:tc>
        <w:tc>
          <w:tcPr>
            <w:tcW w:w="360" w:type="pct"/>
            <w:shd w:val="clear" w:color="auto" w:fill="auto"/>
            <w:noWrap/>
            <w:vAlign w:val="center"/>
          </w:tcPr>
          <w:p w14:paraId="30A027A9">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老客运站—大学城</w:t>
            </w:r>
          </w:p>
        </w:tc>
        <w:tc>
          <w:tcPr>
            <w:tcW w:w="467" w:type="pct"/>
            <w:shd w:val="clear" w:color="auto" w:fill="auto"/>
            <w:noWrap/>
            <w:vAlign w:val="center"/>
          </w:tcPr>
          <w:p w14:paraId="0B1E582A">
            <w:pPr>
              <w:widowControl/>
              <w:spacing w:line="240" w:lineRule="auto"/>
              <w:ind w:firstLine="0" w:firstLineChars="0"/>
              <w:jc w:val="center"/>
              <w:rPr>
                <w:rFonts w:ascii="仿宋" w:hAnsi="仿宋"/>
                <w:kern w:val="0"/>
                <w:sz w:val="21"/>
                <w:szCs w:val="21"/>
              </w:rPr>
            </w:pPr>
            <w:r>
              <w:rPr>
                <w:rFonts w:ascii="仿宋" w:hAnsi="仿宋"/>
                <w:kern w:val="0"/>
                <w:sz w:val="21"/>
                <w:szCs w:val="21"/>
              </w:rPr>
              <w:t>18</w:t>
            </w:r>
          </w:p>
        </w:tc>
        <w:tc>
          <w:tcPr>
            <w:tcW w:w="281" w:type="pct"/>
            <w:shd w:val="clear" w:color="auto" w:fill="auto"/>
            <w:noWrap/>
            <w:vAlign w:val="center"/>
          </w:tcPr>
          <w:p w14:paraId="2628E79A">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0A49B619">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老客运站—迎宾大街—一次变—铝箔厂—华宸</w:t>
            </w:r>
            <w:r>
              <w:rPr>
                <w:rFonts w:hint="eastAsia" w:ascii="仿宋" w:hAnsi="仿宋"/>
                <w:kern w:val="0"/>
                <w:sz w:val="21"/>
                <w:szCs w:val="21"/>
                <w:lang w:eastAsia="zh-CN"/>
              </w:rPr>
              <w:t>兰</w:t>
            </w:r>
            <w:r>
              <w:rPr>
                <w:rFonts w:ascii="仿宋" w:hAnsi="仿宋"/>
                <w:kern w:val="0"/>
                <w:sz w:val="21"/>
                <w:szCs w:val="21"/>
              </w:rPr>
              <w:t>廷—华宸佳园—光明街—向阳桥—庄河大厦—商贸南门—新天地—文化街—昌盛街—国奥花园—颐养中心—三十一中—九洲医院—鑫兴紫韵—巴黎春田—水仙公馆—中心医院—万达广场—麒麟广场—环湖路—将军湖公园—蓝湾国际—将军湖幼儿园—铭润福邸—重点高中—锦绣大街—红星冰雪乐园—前高屯—前高屯南—博大数控—张屯小区—四高中—速成职业学校—大学城</w:t>
            </w:r>
          </w:p>
        </w:tc>
      </w:tr>
      <w:tr w14:paraId="5AC0B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6" w:hRule="atLeast"/>
        </w:trPr>
        <w:tc>
          <w:tcPr>
            <w:tcW w:w="310" w:type="pct"/>
            <w:shd w:val="clear" w:color="auto" w:fill="auto"/>
            <w:noWrap/>
            <w:vAlign w:val="center"/>
          </w:tcPr>
          <w:p w14:paraId="2879A451">
            <w:pPr>
              <w:widowControl/>
              <w:spacing w:line="240" w:lineRule="auto"/>
              <w:ind w:firstLine="0" w:firstLineChars="0"/>
              <w:jc w:val="center"/>
              <w:rPr>
                <w:rFonts w:ascii="仿宋" w:hAnsi="仿宋"/>
                <w:kern w:val="0"/>
                <w:sz w:val="21"/>
                <w:szCs w:val="21"/>
              </w:rPr>
            </w:pPr>
            <w:r>
              <w:rPr>
                <w:rFonts w:ascii="仿宋" w:hAnsi="仿宋"/>
                <w:kern w:val="0"/>
                <w:sz w:val="21"/>
                <w:szCs w:val="21"/>
              </w:rPr>
              <w:t>116路</w:t>
            </w:r>
          </w:p>
        </w:tc>
        <w:tc>
          <w:tcPr>
            <w:tcW w:w="358" w:type="pct"/>
            <w:shd w:val="clear" w:color="auto" w:fill="auto"/>
            <w:noWrap/>
            <w:vAlign w:val="center"/>
          </w:tcPr>
          <w:p w14:paraId="5DA171A5">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475" w:type="pct"/>
            <w:shd w:val="clear" w:color="auto" w:fill="auto"/>
            <w:noWrap/>
            <w:vAlign w:val="center"/>
          </w:tcPr>
          <w:p w14:paraId="1591A5F4">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360" w:type="pct"/>
            <w:shd w:val="clear" w:color="auto" w:fill="auto"/>
            <w:noWrap/>
            <w:vAlign w:val="center"/>
          </w:tcPr>
          <w:p w14:paraId="0F984168">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老客运站—万达广场</w:t>
            </w:r>
          </w:p>
        </w:tc>
        <w:tc>
          <w:tcPr>
            <w:tcW w:w="467" w:type="pct"/>
            <w:shd w:val="clear" w:color="auto" w:fill="auto"/>
            <w:noWrap/>
            <w:vAlign w:val="center"/>
          </w:tcPr>
          <w:p w14:paraId="5F11FC5C">
            <w:pPr>
              <w:widowControl/>
              <w:spacing w:line="240" w:lineRule="auto"/>
              <w:ind w:firstLine="0" w:firstLineChars="0"/>
              <w:jc w:val="center"/>
              <w:rPr>
                <w:rFonts w:ascii="仿宋" w:hAnsi="仿宋"/>
                <w:kern w:val="0"/>
                <w:sz w:val="21"/>
                <w:szCs w:val="21"/>
              </w:rPr>
            </w:pPr>
            <w:r>
              <w:rPr>
                <w:rFonts w:ascii="仿宋" w:hAnsi="仿宋"/>
                <w:kern w:val="0"/>
                <w:sz w:val="21"/>
                <w:szCs w:val="21"/>
              </w:rPr>
              <w:t>7</w:t>
            </w:r>
          </w:p>
        </w:tc>
        <w:tc>
          <w:tcPr>
            <w:tcW w:w="281" w:type="pct"/>
            <w:shd w:val="clear" w:color="auto" w:fill="auto"/>
            <w:noWrap/>
            <w:vAlign w:val="center"/>
          </w:tcPr>
          <w:p w14:paraId="500B3D7F">
            <w:pPr>
              <w:widowControl/>
              <w:spacing w:line="240" w:lineRule="auto"/>
              <w:ind w:firstLine="0" w:firstLineChars="0"/>
              <w:jc w:val="center"/>
              <w:rPr>
                <w:rFonts w:ascii="仿宋" w:hAnsi="仿宋"/>
                <w:kern w:val="0"/>
                <w:sz w:val="21"/>
                <w:szCs w:val="21"/>
              </w:rPr>
            </w:pPr>
            <w:r>
              <w:rPr>
                <w:rFonts w:ascii="仿宋" w:hAnsi="仿宋"/>
                <w:kern w:val="0"/>
                <w:sz w:val="21"/>
                <w:szCs w:val="21"/>
              </w:rPr>
              <w:t>新建</w:t>
            </w:r>
          </w:p>
        </w:tc>
        <w:tc>
          <w:tcPr>
            <w:tcW w:w="2750" w:type="pct"/>
            <w:shd w:val="clear" w:color="auto" w:fill="auto"/>
            <w:noWrap/>
            <w:vAlign w:val="center"/>
          </w:tcPr>
          <w:p w14:paraId="5A431670">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老客运站—迎宾大街—一次变—铝箔厂—华宸</w:t>
            </w:r>
            <w:r>
              <w:rPr>
                <w:rFonts w:hint="eastAsia" w:ascii="仿宋" w:hAnsi="仿宋"/>
                <w:kern w:val="0"/>
                <w:sz w:val="21"/>
                <w:szCs w:val="21"/>
                <w:lang w:eastAsia="zh-CN"/>
              </w:rPr>
              <w:t>兰</w:t>
            </w:r>
            <w:r>
              <w:rPr>
                <w:rFonts w:ascii="仿宋" w:hAnsi="仿宋"/>
                <w:kern w:val="0"/>
                <w:sz w:val="21"/>
                <w:szCs w:val="21"/>
              </w:rPr>
              <w:t>廷—华宸佳园—光明街—向阳桥—庄河大厦—向阳路—向阳小学—文化街—延安路—文化街—昌盛街—国奥花园—颐养中心—三十一中—九洲医院—鑫兴紫韵—巴黎春田—水仙公馆—中心医院—万达广场</w:t>
            </w:r>
          </w:p>
        </w:tc>
      </w:tr>
      <w:tr w14:paraId="15D88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6" w:hRule="atLeast"/>
        </w:trPr>
        <w:tc>
          <w:tcPr>
            <w:tcW w:w="310" w:type="pct"/>
            <w:shd w:val="clear" w:color="auto" w:fill="auto"/>
            <w:noWrap/>
            <w:vAlign w:val="center"/>
          </w:tcPr>
          <w:p w14:paraId="2E2E0670">
            <w:pPr>
              <w:widowControl/>
              <w:spacing w:line="240" w:lineRule="auto"/>
              <w:ind w:firstLine="0" w:firstLineChars="0"/>
              <w:jc w:val="center"/>
              <w:rPr>
                <w:rFonts w:ascii="仿宋" w:hAnsi="仿宋"/>
                <w:kern w:val="0"/>
                <w:sz w:val="21"/>
                <w:szCs w:val="21"/>
              </w:rPr>
            </w:pPr>
            <w:r>
              <w:rPr>
                <w:rFonts w:ascii="仿宋" w:hAnsi="仿宋"/>
                <w:kern w:val="0"/>
                <w:sz w:val="21"/>
                <w:szCs w:val="21"/>
              </w:rPr>
              <w:t>113路</w:t>
            </w:r>
          </w:p>
        </w:tc>
        <w:tc>
          <w:tcPr>
            <w:tcW w:w="358" w:type="pct"/>
            <w:shd w:val="clear" w:color="auto" w:fill="auto"/>
            <w:noWrap/>
            <w:vAlign w:val="center"/>
          </w:tcPr>
          <w:p w14:paraId="36B9B182">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大学城西门-庄河北站</w:t>
            </w:r>
          </w:p>
        </w:tc>
        <w:tc>
          <w:tcPr>
            <w:tcW w:w="475" w:type="pct"/>
            <w:shd w:val="clear" w:color="auto" w:fill="auto"/>
            <w:noWrap/>
            <w:vAlign w:val="center"/>
          </w:tcPr>
          <w:p w14:paraId="0CDB9242">
            <w:pPr>
              <w:widowControl/>
              <w:spacing w:line="240" w:lineRule="auto"/>
              <w:ind w:firstLine="0" w:firstLineChars="0"/>
              <w:jc w:val="center"/>
              <w:rPr>
                <w:rFonts w:ascii="仿宋" w:hAnsi="仿宋"/>
                <w:kern w:val="0"/>
                <w:sz w:val="21"/>
                <w:szCs w:val="21"/>
              </w:rPr>
            </w:pPr>
            <w:r>
              <w:rPr>
                <w:rFonts w:ascii="仿宋" w:hAnsi="仿宋"/>
                <w:kern w:val="0"/>
                <w:sz w:val="21"/>
                <w:szCs w:val="21"/>
              </w:rPr>
              <w:t>18.5</w:t>
            </w:r>
          </w:p>
        </w:tc>
        <w:tc>
          <w:tcPr>
            <w:tcW w:w="360" w:type="pct"/>
            <w:shd w:val="clear" w:color="auto" w:fill="auto"/>
            <w:noWrap/>
            <w:vAlign w:val="center"/>
          </w:tcPr>
          <w:p w14:paraId="5E86B322">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大学城西门—庄河北站</w:t>
            </w:r>
          </w:p>
        </w:tc>
        <w:tc>
          <w:tcPr>
            <w:tcW w:w="467" w:type="pct"/>
            <w:shd w:val="clear" w:color="auto" w:fill="auto"/>
            <w:noWrap/>
            <w:vAlign w:val="center"/>
          </w:tcPr>
          <w:p w14:paraId="7093124A">
            <w:pPr>
              <w:widowControl/>
              <w:spacing w:line="240" w:lineRule="auto"/>
              <w:ind w:firstLine="0" w:firstLineChars="0"/>
              <w:jc w:val="center"/>
              <w:rPr>
                <w:rFonts w:ascii="仿宋" w:hAnsi="仿宋"/>
                <w:kern w:val="0"/>
                <w:sz w:val="21"/>
                <w:szCs w:val="21"/>
              </w:rPr>
            </w:pPr>
            <w:r>
              <w:rPr>
                <w:rFonts w:ascii="仿宋" w:hAnsi="仿宋"/>
                <w:kern w:val="0"/>
                <w:sz w:val="21"/>
                <w:szCs w:val="21"/>
              </w:rPr>
              <w:t>18.5</w:t>
            </w:r>
          </w:p>
        </w:tc>
        <w:tc>
          <w:tcPr>
            <w:tcW w:w="281" w:type="pct"/>
            <w:shd w:val="clear" w:color="auto" w:fill="auto"/>
            <w:noWrap/>
            <w:vAlign w:val="center"/>
          </w:tcPr>
          <w:p w14:paraId="55319326">
            <w:pPr>
              <w:widowControl/>
              <w:spacing w:line="240" w:lineRule="auto"/>
              <w:ind w:firstLine="0" w:firstLineChars="0"/>
              <w:jc w:val="center"/>
              <w:rPr>
                <w:rFonts w:ascii="仿宋" w:hAnsi="仿宋"/>
                <w:kern w:val="0"/>
                <w:sz w:val="21"/>
                <w:szCs w:val="21"/>
              </w:rPr>
            </w:pPr>
            <w:r>
              <w:rPr>
                <w:rFonts w:ascii="仿宋" w:hAnsi="仿宋"/>
                <w:kern w:val="0"/>
                <w:sz w:val="21"/>
                <w:szCs w:val="21"/>
              </w:rPr>
              <w:t>无</w:t>
            </w:r>
          </w:p>
          <w:p w14:paraId="69E6F2CB">
            <w:pPr>
              <w:widowControl/>
              <w:spacing w:line="240" w:lineRule="auto"/>
              <w:ind w:firstLine="0" w:firstLineChars="0"/>
              <w:jc w:val="center"/>
              <w:rPr>
                <w:rFonts w:ascii="仿宋" w:hAnsi="仿宋"/>
                <w:kern w:val="0"/>
                <w:sz w:val="21"/>
                <w:szCs w:val="21"/>
              </w:rPr>
            </w:pPr>
            <w:r>
              <w:rPr>
                <w:rFonts w:ascii="仿宋" w:hAnsi="仿宋"/>
                <w:kern w:val="0"/>
                <w:sz w:val="21"/>
                <w:szCs w:val="21"/>
              </w:rPr>
              <w:t>变</w:t>
            </w:r>
          </w:p>
          <w:p w14:paraId="5BFD355A">
            <w:pPr>
              <w:widowControl/>
              <w:spacing w:line="240" w:lineRule="auto"/>
              <w:ind w:firstLine="0" w:firstLineChars="0"/>
              <w:jc w:val="center"/>
              <w:rPr>
                <w:rFonts w:ascii="仿宋" w:hAnsi="仿宋"/>
                <w:kern w:val="0"/>
                <w:sz w:val="21"/>
                <w:szCs w:val="21"/>
              </w:rPr>
            </w:pPr>
            <w:r>
              <w:rPr>
                <w:rFonts w:ascii="仿宋" w:hAnsi="仿宋"/>
                <w:kern w:val="0"/>
                <w:sz w:val="21"/>
                <w:szCs w:val="21"/>
              </w:rPr>
              <w:t>化</w:t>
            </w:r>
          </w:p>
        </w:tc>
        <w:tc>
          <w:tcPr>
            <w:tcW w:w="2750" w:type="pct"/>
            <w:shd w:val="clear" w:color="auto" w:fill="auto"/>
            <w:noWrap/>
            <w:vAlign w:val="center"/>
          </w:tcPr>
          <w:p w14:paraId="1BF4B535">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西门—大学城东站—速成学校—四高中—张屯小区—博大数控—前高屯南—前高屯—红星乐园—高屯车场—中心小学—电管站—董屯—方圆电缆—百汇电缆—六高中—二高中—侯屯站—疏港路—市政府—公安局—中国银行—妇幼保健院—水仙新城—五一广场—电视台—书香苑小区—文化街—庄河大厦—向阳桥—光明街—华宸佳园—光明小区—迎宾大街—三环大街—畅通汽车—天发市场—日语学校—新华工业园—二环路—新兴小学—北方家具城—王卧龙—后王卧龙—三门孙—三门孙桥北—庄河北站</w:t>
            </w:r>
          </w:p>
        </w:tc>
      </w:tr>
      <w:tr w14:paraId="0B95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4" w:hRule="atLeast"/>
        </w:trPr>
        <w:tc>
          <w:tcPr>
            <w:tcW w:w="310" w:type="pct"/>
            <w:shd w:val="clear" w:color="auto" w:fill="auto"/>
            <w:noWrap/>
            <w:vAlign w:val="center"/>
          </w:tcPr>
          <w:p w14:paraId="2DE27925">
            <w:pPr>
              <w:widowControl/>
              <w:spacing w:line="240" w:lineRule="auto"/>
              <w:ind w:firstLine="0" w:firstLineChars="0"/>
              <w:jc w:val="center"/>
              <w:rPr>
                <w:rFonts w:ascii="仿宋" w:hAnsi="仿宋"/>
                <w:kern w:val="0"/>
                <w:sz w:val="21"/>
                <w:szCs w:val="21"/>
              </w:rPr>
            </w:pPr>
            <w:r>
              <w:rPr>
                <w:rFonts w:ascii="仿宋" w:hAnsi="仿宋"/>
                <w:kern w:val="0"/>
                <w:sz w:val="21"/>
                <w:szCs w:val="21"/>
              </w:rPr>
              <w:t>114路</w:t>
            </w:r>
          </w:p>
        </w:tc>
        <w:tc>
          <w:tcPr>
            <w:tcW w:w="358" w:type="pct"/>
            <w:shd w:val="clear" w:color="auto" w:fill="auto"/>
            <w:noWrap/>
            <w:vAlign w:val="center"/>
          </w:tcPr>
          <w:p w14:paraId="644E4992">
            <w:pPr>
              <w:widowControl/>
              <w:spacing w:line="240" w:lineRule="auto"/>
              <w:ind w:firstLine="0" w:firstLineChars="0"/>
              <w:jc w:val="center"/>
              <w:rPr>
                <w:rFonts w:ascii="仿宋" w:hAnsi="仿宋"/>
                <w:kern w:val="0"/>
                <w:sz w:val="21"/>
                <w:szCs w:val="21"/>
              </w:rPr>
            </w:pPr>
            <w:r>
              <w:rPr>
                <w:rFonts w:ascii="仿宋" w:hAnsi="仿宋"/>
                <w:kern w:val="0"/>
                <w:sz w:val="21"/>
                <w:szCs w:val="21"/>
              </w:rPr>
              <w:t>华宸佳园—毛屯</w:t>
            </w:r>
          </w:p>
          <w:p w14:paraId="2A694AAB">
            <w:pPr>
              <w:widowControl/>
              <w:spacing w:line="240" w:lineRule="auto"/>
              <w:ind w:firstLine="0" w:firstLineChars="0"/>
              <w:jc w:val="center"/>
              <w:rPr>
                <w:rFonts w:ascii="仿宋" w:hAnsi="仿宋"/>
                <w:kern w:val="0"/>
                <w:sz w:val="21"/>
                <w:szCs w:val="21"/>
              </w:rPr>
            </w:pPr>
          </w:p>
        </w:tc>
        <w:tc>
          <w:tcPr>
            <w:tcW w:w="475" w:type="pct"/>
            <w:shd w:val="clear" w:color="auto" w:fill="auto"/>
            <w:noWrap/>
            <w:vAlign w:val="center"/>
          </w:tcPr>
          <w:p w14:paraId="246259CA">
            <w:pPr>
              <w:widowControl/>
              <w:spacing w:line="240" w:lineRule="auto"/>
              <w:ind w:firstLine="0" w:firstLineChars="0"/>
              <w:jc w:val="center"/>
              <w:rPr>
                <w:rFonts w:ascii="仿宋" w:hAnsi="仿宋"/>
                <w:kern w:val="0"/>
                <w:sz w:val="21"/>
                <w:szCs w:val="21"/>
              </w:rPr>
            </w:pPr>
            <w:r>
              <w:rPr>
                <w:rFonts w:ascii="仿宋" w:hAnsi="仿宋"/>
                <w:kern w:val="0"/>
                <w:sz w:val="21"/>
                <w:szCs w:val="21"/>
              </w:rPr>
              <w:t>9</w:t>
            </w:r>
          </w:p>
        </w:tc>
        <w:tc>
          <w:tcPr>
            <w:tcW w:w="360" w:type="pct"/>
            <w:shd w:val="clear" w:color="auto" w:fill="auto"/>
            <w:noWrap/>
            <w:vAlign w:val="center"/>
          </w:tcPr>
          <w:p w14:paraId="6C1B61CA">
            <w:pPr>
              <w:widowControl/>
              <w:spacing w:line="240" w:lineRule="auto"/>
              <w:ind w:firstLine="0" w:firstLineChars="0"/>
              <w:jc w:val="center"/>
              <w:rPr>
                <w:rFonts w:ascii="仿宋" w:hAnsi="仿宋"/>
                <w:kern w:val="0"/>
                <w:sz w:val="21"/>
                <w:szCs w:val="21"/>
              </w:rPr>
            </w:pPr>
            <w:r>
              <w:rPr>
                <w:rFonts w:ascii="仿宋" w:hAnsi="仿宋"/>
                <w:kern w:val="0"/>
                <w:sz w:val="21"/>
                <w:szCs w:val="21"/>
              </w:rPr>
              <w:t>大房身毛屯—万达广场</w:t>
            </w:r>
          </w:p>
        </w:tc>
        <w:tc>
          <w:tcPr>
            <w:tcW w:w="467" w:type="pct"/>
            <w:shd w:val="clear" w:color="auto" w:fill="auto"/>
            <w:noWrap/>
            <w:vAlign w:val="center"/>
          </w:tcPr>
          <w:p w14:paraId="71836031">
            <w:pPr>
              <w:widowControl/>
              <w:spacing w:line="240" w:lineRule="auto"/>
              <w:ind w:firstLine="0" w:firstLineChars="0"/>
              <w:jc w:val="center"/>
              <w:rPr>
                <w:rFonts w:ascii="仿宋" w:hAnsi="仿宋"/>
                <w:kern w:val="0"/>
                <w:sz w:val="21"/>
                <w:szCs w:val="21"/>
              </w:rPr>
            </w:pPr>
            <w:r>
              <w:rPr>
                <w:rFonts w:ascii="仿宋" w:hAnsi="仿宋"/>
                <w:kern w:val="0"/>
                <w:sz w:val="21"/>
                <w:szCs w:val="21"/>
              </w:rPr>
              <w:t>16</w:t>
            </w:r>
          </w:p>
        </w:tc>
        <w:tc>
          <w:tcPr>
            <w:tcW w:w="281" w:type="pct"/>
            <w:shd w:val="clear" w:color="auto" w:fill="auto"/>
            <w:noWrap/>
            <w:vAlign w:val="center"/>
          </w:tcPr>
          <w:p w14:paraId="580E2186">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3128F6E9">
            <w:pPr>
              <w:widowControl/>
              <w:spacing w:line="240" w:lineRule="auto"/>
              <w:ind w:firstLine="0" w:firstLineChars="0"/>
              <w:jc w:val="center"/>
              <w:rPr>
                <w:rFonts w:ascii="仿宋" w:hAnsi="仿宋"/>
                <w:kern w:val="0"/>
                <w:sz w:val="21"/>
                <w:szCs w:val="21"/>
              </w:rPr>
            </w:pPr>
            <w:r>
              <w:rPr>
                <w:rFonts w:ascii="仿宋" w:hAnsi="仿宋"/>
                <w:kern w:val="0"/>
                <w:sz w:val="21"/>
                <w:szCs w:val="21"/>
              </w:rPr>
              <w:t>毛屯—华博庄园—大房身—平顶屯—坞西—坞东—庙下西站—庙下—大东市场—光荣院—后炮四队—后炮村—后炮三队—农机驾校—庄河一中—老庙岭—大宇电子—华宸</w:t>
            </w:r>
            <w:r>
              <w:rPr>
                <w:rFonts w:hint="eastAsia" w:ascii="仿宋" w:hAnsi="仿宋"/>
                <w:kern w:val="0"/>
                <w:sz w:val="21"/>
                <w:szCs w:val="21"/>
                <w:lang w:eastAsia="zh-CN"/>
              </w:rPr>
              <w:t>兰</w:t>
            </w:r>
            <w:r>
              <w:rPr>
                <w:rFonts w:ascii="仿宋" w:hAnsi="仿宋"/>
                <w:kern w:val="0"/>
                <w:sz w:val="21"/>
                <w:szCs w:val="21"/>
              </w:rPr>
              <w:t>廷—华宸佳园—光明街—向阳桥—庄河大厦—文化街—书香苑—电视台—体育馆—延安路—昌盛街—国奥花园—颐养中心—三十一中—九洲医院—鑫兴紫韵—巴黎春田—水仙公馆—中心医院—万达广场—明珠湾</w:t>
            </w:r>
          </w:p>
        </w:tc>
      </w:tr>
      <w:tr w14:paraId="24E8B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4" w:hRule="atLeast"/>
        </w:trPr>
        <w:tc>
          <w:tcPr>
            <w:tcW w:w="31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FE088AE">
            <w:pPr>
              <w:widowControl/>
              <w:spacing w:line="240" w:lineRule="auto"/>
              <w:ind w:firstLine="0" w:firstLineChars="0"/>
              <w:jc w:val="center"/>
              <w:rPr>
                <w:rFonts w:ascii="仿宋" w:hAnsi="仿宋"/>
                <w:kern w:val="0"/>
                <w:sz w:val="21"/>
                <w:szCs w:val="21"/>
              </w:rPr>
            </w:pPr>
            <w:r>
              <w:rPr>
                <w:rFonts w:ascii="仿宋" w:hAnsi="仿宋"/>
                <w:kern w:val="0"/>
                <w:sz w:val="21"/>
                <w:szCs w:val="21"/>
              </w:rPr>
              <w:t>117路</w:t>
            </w:r>
          </w:p>
        </w:tc>
        <w:tc>
          <w:tcPr>
            <w:tcW w:w="358"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3E85C05">
            <w:pPr>
              <w:widowControl/>
              <w:spacing w:line="240" w:lineRule="auto"/>
              <w:ind w:firstLine="0" w:firstLineChars="0"/>
              <w:jc w:val="center"/>
              <w:rPr>
                <w:rFonts w:ascii="仿宋" w:hAnsi="仿宋"/>
                <w:kern w:val="0"/>
                <w:sz w:val="21"/>
                <w:szCs w:val="21"/>
              </w:rPr>
            </w:pPr>
            <w:r>
              <w:rPr>
                <w:rFonts w:ascii="仿宋" w:hAnsi="仿宋"/>
                <w:kern w:val="0"/>
                <w:sz w:val="21"/>
                <w:szCs w:val="21"/>
              </w:rPr>
              <w:t>客运站—万达广场</w:t>
            </w:r>
          </w:p>
        </w:tc>
        <w:tc>
          <w:tcPr>
            <w:tcW w:w="47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41EF95E">
            <w:pPr>
              <w:widowControl/>
              <w:spacing w:line="240" w:lineRule="auto"/>
              <w:ind w:firstLine="0" w:firstLineChars="0"/>
              <w:jc w:val="center"/>
              <w:rPr>
                <w:rFonts w:ascii="仿宋" w:hAnsi="仿宋"/>
                <w:kern w:val="0"/>
                <w:sz w:val="21"/>
                <w:szCs w:val="21"/>
              </w:rPr>
            </w:pPr>
            <w:r>
              <w:rPr>
                <w:rFonts w:ascii="仿宋" w:hAnsi="仿宋"/>
                <w:kern w:val="0"/>
                <w:sz w:val="21"/>
                <w:szCs w:val="21"/>
              </w:rPr>
              <w:t>6.9</w:t>
            </w:r>
          </w:p>
        </w:tc>
        <w:tc>
          <w:tcPr>
            <w:tcW w:w="3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35164EA">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老客运站—大学城</w:t>
            </w:r>
          </w:p>
        </w:tc>
        <w:tc>
          <w:tcPr>
            <w:tcW w:w="46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4992FB7">
            <w:pPr>
              <w:widowControl/>
              <w:spacing w:line="240" w:lineRule="auto"/>
              <w:ind w:firstLine="0" w:firstLineChars="0"/>
              <w:jc w:val="center"/>
              <w:rPr>
                <w:rFonts w:ascii="仿宋" w:hAnsi="仿宋"/>
                <w:kern w:val="0"/>
                <w:sz w:val="21"/>
                <w:szCs w:val="21"/>
              </w:rPr>
            </w:pPr>
            <w:r>
              <w:rPr>
                <w:rFonts w:ascii="仿宋" w:hAnsi="仿宋"/>
                <w:kern w:val="0"/>
                <w:sz w:val="21"/>
                <w:szCs w:val="21"/>
              </w:rPr>
              <w:t>13</w:t>
            </w:r>
          </w:p>
        </w:tc>
        <w:tc>
          <w:tcPr>
            <w:tcW w:w="2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3C836A1">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2E48C57">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w:t>
            </w:r>
            <w:r>
              <w:rPr>
                <w:rFonts w:hint="eastAsia" w:ascii="仿宋" w:hAnsi="仿宋"/>
                <w:kern w:val="0"/>
                <w:sz w:val="21"/>
                <w:szCs w:val="21"/>
              </w:rPr>
              <w:t>—</w:t>
            </w:r>
            <w:r>
              <w:rPr>
                <w:rFonts w:ascii="仿宋" w:hAnsi="仿宋"/>
                <w:kern w:val="0"/>
                <w:sz w:val="21"/>
                <w:szCs w:val="21"/>
              </w:rPr>
              <w:t>迎宾大街</w:t>
            </w:r>
            <w:r>
              <w:rPr>
                <w:rFonts w:hint="eastAsia" w:ascii="仿宋" w:hAnsi="仿宋"/>
                <w:kern w:val="0"/>
                <w:sz w:val="21"/>
                <w:szCs w:val="21"/>
              </w:rPr>
              <w:t>—</w:t>
            </w:r>
            <w:r>
              <w:rPr>
                <w:rFonts w:ascii="仿宋" w:hAnsi="仿宋"/>
                <w:kern w:val="0"/>
                <w:sz w:val="21"/>
                <w:szCs w:val="21"/>
              </w:rPr>
              <w:t>光明小区</w:t>
            </w:r>
            <w:r>
              <w:rPr>
                <w:rFonts w:hint="eastAsia" w:ascii="仿宋" w:hAnsi="仿宋"/>
                <w:kern w:val="0"/>
                <w:sz w:val="21"/>
                <w:szCs w:val="21"/>
              </w:rPr>
              <w:t>—</w:t>
            </w:r>
            <w:r>
              <w:rPr>
                <w:rFonts w:ascii="仿宋" w:hAnsi="仿宋"/>
                <w:kern w:val="0"/>
                <w:sz w:val="21"/>
                <w:szCs w:val="21"/>
              </w:rPr>
              <w:t>华宸佳园</w:t>
            </w:r>
            <w:r>
              <w:rPr>
                <w:rFonts w:hint="eastAsia" w:ascii="仿宋" w:hAnsi="仿宋"/>
                <w:kern w:val="0"/>
                <w:sz w:val="21"/>
                <w:szCs w:val="21"/>
              </w:rPr>
              <w:t>—</w:t>
            </w:r>
            <w:r>
              <w:rPr>
                <w:rFonts w:ascii="仿宋" w:hAnsi="仿宋"/>
                <w:kern w:val="0"/>
                <w:sz w:val="21"/>
                <w:szCs w:val="21"/>
              </w:rPr>
              <w:t>光明街</w:t>
            </w:r>
            <w:r>
              <w:rPr>
                <w:rFonts w:hint="eastAsia" w:ascii="仿宋" w:hAnsi="仿宋"/>
                <w:kern w:val="0"/>
                <w:sz w:val="21"/>
                <w:szCs w:val="21"/>
              </w:rPr>
              <w:t>—</w:t>
            </w:r>
            <w:r>
              <w:rPr>
                <w:rFonts w:ascii="仿宋" w:hAnsi="仿宋"/>
                <w:kern w:val="0"/>
                <w:sz w:val="21"/>
                <w:szCs w:val="21"/>
              </w:rPr>
              <w:t>向阳桥</w:t>
            </w:r>
            <w:r>
              <w:rPr>
                <w:rFonts w:hint="eastAsia" w:ascii="仿宋" w:hAnsi="仿宋"/>
                <w:kern w:val="0"/>
                <w:sz w:val="21"/>
                <w:szCs w:val="21"/>
              </w:rPr>
              <w:t>—</w:t>
            </w:r>
            <w:r>
              <w:rPr>
                <w:rFonts w:ascii="仿宋" w:hAnsi="仿宋"/>
                <w:kern w:val="0"/>
                <w:sz w:val="21"/>
                <w:szCs w:val="21"/>
              </w:rPr>
              <w:t>庄河大厦</w:t>
            </w:r>
            <w:r>
              <w:rPr>
                <w:rFonts w:hint="eastAsia" w:ascii="仿宋" w:hAnsi="仿宋"/>
                <w:kern w:val="0"/>
                <w:sz w:val="21"/>
                <w:szCs w:val="21"/>
              </w:rPr>
              <w:t>—</w:t>
            </w:r>
            <w:r>
              <w:rPr>
                <w:rFonts w:ascii="仿宋" w:hAnsi="仿宋"/>
                <w:kern w:val="0"/>
                <w:sz w:val="21"/>
                <w:szCs w:val="21"/>
              </w:rPr>
              <w:t>文化街</w:t>
            </w:r>
            <w:r>
              <w:rPr>
                <w:rFonts w:hint="eastAsia" w:ascii="仿宋" w:hAnsi="仿宋"/>
                <w:kern w:val="0"/>
                <w:sz w:val="21"/>
                <w:szCs w:val="21"/>
              </w:rPr>
              <w:t>—</w:t>
            </w:r>
            <w:r>
              <w:rPr>
                <w:rFonts w:ascii="仿宋" w:hAnsi="仿宋"/>
                <w:kern w:val="0"/>
                <w:sz w:val="21"/>
                <w:szCs w:val="21"/>
              </w:rPr>
              <w:t>书香苑小区</w:t>
            </w:r>
            <w:r>
              <w:rPr>
                <w:rFonts w:hint="eastAsia" w:ascii="仿宋" w:hAnsi="仿宋"/>
                <w:kern w:val="0"/>
                <w:sz w:val="21"/>
                <w:szCs w:val="21"/>
              </w:rPr>
              <w:t>—</w:t>
            </w:r>
            <w:r>
              <w:rPr>
                <w:rFonts w:ascii="仿宋" w:hAnsi="仿宋"/>
                <w:kern w:val="0"/>
                <w:sz w:val="21"/>
                <w:szCs w:val="21"/>
              </w:rPr>
              <w:t>电视台</w:t>
            </w:r>
            <w:r>
              <w:rPr>
                <w:rFonts w:hint="eastAsia" w:ascii="仿宋" w:hAnsi="仿宋"/>
                <w:kern w:val="0"/>
                <w:sz w:val="21"/>
                <w:szCs w:val="21"/>
              </w:rPr>
              <w:t>—</w:t>
            </w:r>
            <w:r>
              <w:rPr>
                <w:rFonts w:ascii="仿宋" w:hAnsi="仿宋"/>
                <w:kern w:val="0"/>
                <w:sz w:val="21"/>
                <w:szCs w:val="21"/>
              </w:rPr>
              <w:t>五一广场</w:t>
            </w:r>
            <w:r>
              <w:rPr>
                <w:rFonts w:hint="eastAsia" w:ascii="仿宋" w:hAnsi="仿宋"/>
                <w:kern w:val="0"/>
                <w:sz w:val="21"/>
                <w:szCs w:val="21"/>
              </w:rPr>
              <w:t>—</w:t>
            </w:r>
            <w:r>
              <w:rPr>
                <w:rFonts w:ascii="仿宋" w:hAnsi="仿宋"/>
                <w:kern w:val="0"/>
                <w:sz w:val="21"/>
                <w:szCs w:val="21"/>
              </w:rPr>
              <w:t>水仙新城</w:t>
            </w:r>
            <w:r>
              <w:rPr>
                <w:rFonts w:hint="eastAsia" w:ascii="仿宋" w:hAnsi="仿宋"/>
                <w:kern w:val="0"/>
                <w:sz w:val="21"/>
                <w:szCs w:val="21"/>
              </w:rPr>
              <w:t>—</w:t>
            </w:r>
            <w:r>
              <w:rPr>
                <w:rFonts w:ascii="仿宋" w:hAnsi="仿宋"/>
                <w:kern w:val="0"/>
                <w:sz w:val="21"/>
                <w:szCs w:val="21"/>
              </w:rPr>
              <w:t>妇幼保健院</w:t>
            </w:r>
            <w:r>
              <w:rPr>
                <w:rFonts w:hint="eastAsia" w:ascii="仿宋" w:hAnsi="仿宋"/>
                <w:kern w:val="0"/>
                <w:sz w:val="21"/>
                <w:szCs w:val="21"/>
              </w:rPr>
              <w:t>—</w:t>
            </w:r>
            <w:r>
              <w:rPr>
                <w:rFonts w:ascii="仿宋" w:hAnsi="仿宋"/>
                <w:kern w:val="0"/>
                <w:sz w:val="21"/>
                <w:szCs w:val="21"/>
              </w:rPr>
              <w:t>中国银行</w:t>
            </w:r>
            <w:r>
              <w:rPr>
                <w:rFonts w:hint="eastAsia" w:ascii="仿宋" w:hAnsi="仿宋"/>
                <w:kern w:val="0"/>
                <w:sz w:val="21"/>
                <w:szCs w:val="21"/>
              </w:rPr>
              <w:t>—</w:t>
            </w:r>
            <w:r>
              <w:rPr>
                <w:rFonts w:ascii="仿宋" w:hAnsi="仿宋"/>
                <w:kern w:val="0"/>
                <w:sz w:val="21"/>
                <w:szCs w:val="21"/>
              </w:rPr>
              <w:t>富力城小区</w:t>
            </w:r>
            <w:r>
              <w:rPr>
                <w:rFonts w:hint="eastAsia" w:ascii="仿宋" w:hAnsi="仿宋"/>
                <w:kern w:val="0"/>
                <w:sz w:val="21"/>
                <w:szCs w:val="21"/>
              </w:rPr>
              <w:t>—</w:t>
            </w:r>
            <w:r>
              <w:rPr>
                <w:rFonts w:ascii="仿宋" w:hAnsi="仿宋"/>
                <w:kern w:val="0"/>
                <w:sz w:val="21"/>
                <w:szCs w:val="21"/>
              </w:rPr>
              <w:t>香颂花城</w:t>
            </w:r>
            <w:r>
              <w:rPr>
                <w:rFonts w:hint="eastAsia" w:ascii="仿宋" w:hAnsi="仿宋"/>
                <w:kern w:val="0"/>
                <w:sz w:val="21"/>
                <w:szCs w:val="21"/>
              </w:rPr>
              <w:t>—</w:t>
            </w:r>
            <w:r>
              <w:rPr>
                <w:rFonts w:ascii="仿宋" w:hAnsi="仿宋"/>
                <w:kern w:val="0"/>
                <w:sz w:val="21"/>
                <w:szCs w:val="21"/>
              </w:rPr>
              <w:t>水仙公馆</w:t>
            </w:r>
            <w:r>
              <w:rPr>
                <w:rFonts w:hint="eastAsia" w:ascii="仿宋" w:hAnsi="仿宋"/>
                <w:kern w:val="0"/>
                <w:sz w:val="21"/>
                <w:szCs w:val="21"/>
              </w:rPr>
              <w:t>—</w:t>
            </w:r>
            <w:r>
              <w:rPr>
                <w:rFonts w:ascii="仿宋" w:hAnsi="仿宋"/>
                <w:kern w:val="0"/>
                <w:sz w:val="21"/>
                <w:szCs w:val="21"/>
              </w:rPr>
              <w:t>医院北门</w:t>
            </w:r>
            <w:r>
              <w:rPr>
                <w:rFonts w:hint="eastAsia" w:ascii="仿宋" w:hAnsi="仿宋"/>
                <w:kern w:val="0"/>
                <w:sz w:val="21"/>
                <w:szCs w:val="21"/>
              </w:rPr>
              <w:t>—</w:t>
            </w:r>
            <w:r>
              <w:rPr>
                <w:rFonts w:ascii="仿宋" w:hAnsi="仿宋"/>
                <w:kern w:val="0"/>
                <w:sz w:val="21"/>
                <w:szCs w:val="21"/>
              </w:rPr>
              <w:t>医院住院部</w:t>
            </w:r>
            <w:r>
              <w:rPr>
                <w:rFonts w:hint="eastAsia" w:ascii="仿宋" w:hAnsi="仿宋"/>
                <w:kern w:val="0"/>
                <w:sz w:val="21"/>
                <w:szCs w:val="21"/>
              </w:rPr>
              <w:t>—</w:t>
            </w:r>
            <w:r>
              <w:rPr>
                <w:rFonts w:ascii="仿宋" w:hAnsi="仿宋"/>
                <w:kern w:val="0"/>
                <w:sz w:val="21"/>
                <w:szCs w:val="21"/>
              </w:rPr>
              <w:t>万达广场</w:t>
            </w:r>
            <w:r>
              <w:rPr>
                <w:rFonts w:hint="eastAsia" w:ascii="仿宋" w:hAnsi="仿宋"/>
                <w:kern w:val="0"/>
                <w:sz w:val="21"/>
                <w:szCs w:val="21"/>
              </w:rPr>
              <w:t>—</w:t>
            </w:r>
            <w:r>
              <w:rPr>
                <w:rFonts w:ascii="仿宋" w:hAnsi="仿宋"/>
                <w:kern w:val="0"/>
                <w:sz w:val="21"/>
                <w:szCs w:val="21"/>
              </w:rPr>
              <w:t>明珠湾公馆</w:t>
            </w:r>
            <w:r>
              <w:rPr>
                <w:rFonts w:hint="eastAsia" w:ascii="仿宋" w:hAnsi="仿宋"/>
                <w:kern w:val="0"/>
                <w:sz w:val="21"/>
                <w:szCs w:val="21"/>
              </w:rPr>
              <w:t>—</w:t>
            </w:r>
            <w:r>
              <w:rPr>
                <w:rFonts w:ascii="仿宋" w:hAnsi="仿宋"/>
                <w:kern w:val="0"/>
                <w:sz w:val="21"/>
                <w:szCs w:val="21"/>
              </w:rPr>
              <w:t>金禾教育</w:t>
            </w:r>
            <w:r>
              <w:rPr>
                <w:rFonts w:hint="eastAsia" w:ascii="仿宋" w:hAnsi="仿宋"/>
                <w:kern w:val="0"/>
                <w:sz w:val="21"/>
                <w:szCs w:val="21"/>
              </w:rPr>
              <w:t>—</w:t>
            </w:r>
            <w:r>
              <w:rPr>
                <w:rFonts w:ascii="仿宋" w:hAnsi="仿宋"/>
                <w:kern w:val="0"/>
                <w:sz w:val="21"/>
                <w:szCs w:val="21"/>
              </w:rPr>
              <w:t>东建设大桥</w:t>
            </w:r>
            <w:r>
              <w:rPr>
                <w:rFonts w:hint="eastAsia" w:ascii="仿宋" w:hAnsi="仿宋"/>
                <w:kern w:val="0"/>
                <w:sz w:val="21"/>
                <w:szCs w:val="21"/>
              </w:rPr>
              <w:t>—</w:t>
            </w:r>
            <w:r>
              <w:rPr>
                <w:rFonts w:ascii="仿宋" w:hAnsi="仿宋"/>
                <w:kern w:val="0"/>
                <w:sz w:val="21"/>
                <w:szCs w:val="21"/>
              </w:rPr>
              <w:t>待命名站1</w:t>
            </w:r>
            <w:r>
              <w:rPr>
                <w:rFonts w:hint="eastAsia" w:ascii="仿宋" w:hAnsi="仿宋"/>
                <w:kern w:val="0"/>
                <w:sz w:val="21"/>
                <w:szCs w:val="21"/>
              </w:rPr>
              <w:t>—</w:t>
            </w:r>
            <w:r>
              <w:rPr>
                <w:rFonts w:ascii="仿宋" w:hAnsi="仿宋"/>
                <w:kern w:val="0"/>
                <w:sz w:val="21"/>
                <w:szCs w:val="21"/>
              </w:rPr>
              <w:t>鲍码河大桥</w:t>
            </w:r>
            <w:r>
              <w:rPr>
                <w:rFonts w:hint="eastAsia" w:ascii="仿宋" w:hAnsi="仿宋"/>
                <w:kern w:val="0"/>
                <w:sz w:val="21"/>
                <w:szCs w:val="21"/>
              </w:rPr>
              <w:t>—</w:t>
            </w:r>
            <w:r>
              <w:rPr>
                <w:rFonts w:ascii="仿宋" w:hAnsi="仿宋"/>
                <w:kern w:val="0"/>
                <w:sz w:val="21"/>
                <w:szCs w:val="21"/>
              </w:rPr>
              <w:t>待命名站2</w:t>
            </w:r>
            <w:r>
              <w:rPr>
                <w:rFonts w:hint="eastAsia" w:ascii="仿宋" w:hAnsi="仿宋"/>
                <w:kern w:val="0"/>
                <w:sz w:val="21"/>
                <w:szCs w:val="21"/>
              </w:rPr>
              <w:t>—</w:t>
            </w:r>
            <w:r>
              <w:rPr>
                <w:rFonts w:ascii="仿宋" w:hAnsi="仿宋"/>
                <w:kern w:val="0"/>
                <w:sz w:val="21"/>
                <w:szCs w:val="21"/>
              </w:rPr>
              <w:t>大学城</w:t>
            </w:r>
          </w:p>
        </w:tc>
      </w:tr>
      <w:tr w14:paraId="1F2C2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4" w:hRule="atLeast"/>
        </w:trPr>
        <w:tc>
          <w:tcPr>
            <w:tcW w:w="310" w:type="pct"/>
            <w:shd w:val="clear" w:color="auto" w:fill="auto"/>
            <w:noWrap/>
            <w:vAlign w:val="center"/>
          </w:tcPr>
          <w:p w14:paraId="0E6FFC53">
            <w:pPr>
              <w:widowControl/>
              <w:spacing w:line="240" w:lineRule="auto"/>
              <w:ind w:firstLine="0" w:firstLineChars="0"/>
              <w:jc w:val="center"/>
              <w:rPr>
                <w:rFonts w:ascii="仿宋" w:hAnsi="仿宋"/>
                <w:kern w:val="0"/>
                <w:sz w:val="21"/>
                <w:szCs w:val="21"/>
              </w:rPr>
            </w:pPr>
            <w:r>
              <w:rPr>
                <w:rFonts w:ascii="仿宋" w:hAnsi="仿宋"/>
                <w:kern w:val="0"/>
                <w:sz w:val="21"/>
                <w:szCs w:val="21"/>
              </w:rPr>
              <w:t>101路</w:t>
            </w:r>
          </w:p>
        </w:tc>
        <w:tc>
          <w:tcPr>
            <w:tcW w:w="358" w:type="pct"/>
            <w:shd w:val="clear" w:color="auto" w:fill="auto"/>
            <w:noWrap/>
            <w:vAlign w:val="center"/>
          </w:tcPr>
          <w:p w14:paraId="792FB4CC">
            <w:pPr>
              <w:widowControl/>
              <w:spacing w:line="240" w:lineRule="auto"/>
              <w:ind w:firstLine="0" w:firstLineChars="0"/>
              <w:jc w:val="center"/>
              <w:rPr>
                <w:rFonts w:ascii="仿宋" w:hAnsi="仿宋"/>
                <w:kern w:val="0"/>
                <w:sz w:val="21"/>
                <w:szCs w:val="21"/>
              </w:rPr>
            </w:pPr>
            <w:r>
              <w:rPr>
                <w:rFonts w:ascii="仿宋" w:hAnsi="仿宋"/>
                <w:kern w:val="0"/>
                <w:sz w:val="21"/>
                <w:szCs w:val="21"/>
              </w:rPr>
              <w:t>客运站—大亮村</w:t>
            </w:r>
          </w:p>
          <w:p w14:paraId="3637DC3D">
            <w:pPr>
              <w:widowControl/>
              <w:spacing w:line="240" w:lineRule="auto"/>
              <w:ind w:firstLine="0" w:firstLineChars="0"/>
              <w:jc w:val="center"/>
              <w:rPr>
                <w:rFonts w:ascii="仿宋" w:hAnsi="仿宋"/>
                <w:kern w:val="0"/>
                <w:sz w:val="21"/>
                <w:szCs w:val="21"/>
              </w:rPr>
            </w:pPr>
          </w:p>
        </w:tc>
        <w:tc>
          <w:tcPr>
            <w:tcW w:w="475" w:type="pct"/>
            <w:shd w:val="clear" w:color="auto" w:fill="auto"/>
            <w:noWrap/>
            <w:vAlign w:val="center"/>
          </w:tcPr>
          <w:p w14:paraId="1808D9D1">
            <w:pPr>
              <w:widowControl/>
              <w:spacing w:line="240" w:lineRule="auto"/>
              <w:ind w:firstLine="0" w:firstLineChars="0"/>
              <w:jc w:val="center"/>
              <w:rPr>
                <w:rFonts w:ascii="仿宋" w:hAnsi="仿宋"/>
                <w:kern w:val="0"/>
                <w:sz w:val="21"/>
                <w:szCs w:val="21"/>
              </w:rPr>
            </w:pPr>
            <w:r>
              <w:rPr>
                <w:rFonts w:ascii="仿宋" w:hAnsi="仿宋"/>
                <w:kern w:val="0"/>
                <w:sz w:val="21"/>
                <w:szCs w:val="21"/>
              </w:rPr>
              <w:t>9.4</w:t>
            </w:r>
          </w:p>
        </w:tc>
        <w:tc>
          <w:tcPr>
            <w:tcW w:w="360" w:type="pct"/>
            <w:shd w:val="clear" w:color="auto" w:fill="auto"/>
            <w:noWrap/>
            <w:vAlign w:val="center"/>
          </w:tcPr>
          <w:p w14:paraId="2698EF9C">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老客运站—大学城</w:t>
            </w:r>
          </w:p>
        </w:tc>
        <w:tc>
          <w:tcPr>
            <w:tcW w:w="467" w:type="pct"/>
            <w:shd w:val="clear" w:color="auto" w:fill="auto"/>
            <w:noWrap/>
            <w:vAlign w:val="center"/>
          </w:tcPr>
          <w:p w14:paraId="542CEE7D">
            <w:pPr>
              <w:widowControl/>
              <w:spacing w:line="240" w:lineRule="auto"/>
              <w:ind w:firstLine="0" w:firstLineChars="0"/>
              <w:jc w:val="center"/>
              <w:rPr>
                <w:rFonts w:ascii="仿宋" w:hAnsi="仿宋"/>
                <w:kern w:val="0"/>
                <w:sz w:val="21"/>
                <w:szCs w:val="21"/>
              </w:rPr>
            </w:pPr>
            <w:r>
              <w:rPr>
                <w:rFonts w:ascii="仿宋" w:hAnsi="仿宋"/>
                <w:kern w:val="0"/>
                <w:sz w:val="21"/>
                <w:szCs w:val="21"/>
              </w:rPr>
              <w:t>11.4</w:t>
            </w:r>
          </w:p>
        </w:tc>
        <w:tc>
          <w:tcPr>
            <w:tcW w:w="281" w:type="pct"/>
            <w:shd w:val="clear" w:color="auto" w:fill="auto"/>
            <w:noWrap/>
            <w:vAlign w:val="center"/>
          </w:tcPr>
          <w:p w14:paraId="5AC621CD">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7E0BA0FE">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红光游园—红光市场—新华派出所—仁爱门诊—向阳路—黄海广场—延安路—红岩路—滨东路—河东旧货市场—职教中心—三十五中—西大地—鲍码村委会—南方小店—鲍码供销社—乡村商店—石山医院—大连胶辊厂—高沟口—磨石房小学—磨石房村—冷库道口—大亮村—东昌机械厂—待命名1—大学城</w:t>
            </w:r>
          </w:p>
        </w:tc>
      </w:tr>
      <w:tr w14:paraId="40D72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2" w:hRule="atLeast"/>
        </w:trPr>
        <w:tc>
          <w:tcPr>
            <w:tcW w:w="310" w:type="pct"/>
            <w:shd w:val="clear" w:color="auto" w:fill="auto"/>
            <w:noWrap/>
            <w:vAlign w:val="center"/>
          </w:tcPr>
          <w:p w14:paraId="7B4FC108">
            <w:pPr>
              <w:widowControl/>
              <w:spacing w:line="240" w:lineRule="auto"/>
              <w:ind w:firstLine="0" w:firstLineChars="0"/>
              <w:jc w:val="center"/>
              <w:rPr>
                <w:rFonts w:ascii="仿宋" w:hAnsi="仿宋"/>
                <w:kern w:val="0"/>
                <w:sz w:val="21"/>
                <w:szCs w:val="21"/>
              </w:rPr>
            </w:pPr>
            <w:r>
              <w:rPr>
                <w:rFonts w:ascii="仿宋" w:hAnsi="仿宋"/>
                <w:kern w:val="0"/>
                <w:sz w:val="21"/>
                <w:szCs w:val="21"/>
              </w:rPr>
              <w:t>102支线</w:t>
            </w:r>
          </w:p>
        </w:tc>
        <w:tc>
          <w:tcPr>
            <w:tcW w:w="358" w:type="pct"/>
            <w:shd w:val="clear" w:color="auto" w:fill="auto"/>
            <w:noWrap/>
            <w:vAlign w:val="center"/>
          </w:tcPr>
          <w:p w14:paraId="3DAD37C2">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475" w:type="pct"/>
            <w:shd w:val="clear" w:color="auto" w:fill="auto"/>
            <w:noWrap/>
            <w:vAlign w:val="center"/>
          </w:tcPr>
          <w:p w14:paraId="3940DE06">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360" w:type="pct"/>
            <w:shd w:val="clear" w:color="auto" w:fill="auto"/>
            <w:noWrap/>
            <w:vAlign w:val="center"/>
          </w:tcPr>
          <w:p w14:paraId="08927023">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庄河北站—老客运站</w:t>
            </w:r>
          </w:p>
        </w:tc>
        <w:tc>
          <w:tcPr>
            <w:tcW w:w="467" w:type="pct"/>
            <w:shd w:val="clear" w:color="auto" w:fill="auto"/>
            <w:noWrap/>
            <w:vAlign w:val="center"/>
          </w:tcPr>
          <w:p w14:paraId="74E4AE07">
            <w:pPr>
              <w:widowControl/>
              <w:spacing w:line="240" w:lineRule="auto"/>
              <w:ind w:firstLine="0" w:firstLineChars="0"/>
              <w:jc w:val="center"/>
              <w:rPr>
                <w:rFonts w:ascii="仿宋" w:hAnsi="仿宋"/>
                <w:kern w:val="0"/>
                <w:sz w:val="21"/>
                <w:szCs w:val="21"/>
              </w:rPr>
            </w:pPr>
            <w:r>
              <w:rPr>
                <w:rFonts w:ascii="仿宋" w:hAnsi="仿宋"/>
                <w:kern w:val="0"/>
                <w:sz w:val="21"/>
                <w:szCs w:val="21"/>
              </w:rPr>
              <w:t>9.7</w:t>
            </w:r>
          </w:p>
        </w:tc>
        <w:tc>
          <w:tcPr>
            <w:tcW w:w="281" w:type="pct"/>
            <w:shd w:val="clear" w:color="auto" w:fill="auto"/>
            <w:noWrap/>
            <w:vAlign w:val="center"/>
          </w:tcPr>
          <w:p w14:paraId="03F52F0B">
            <w:pPr>
              <w:widowControl/>
              <w:spacing w:line="240" w:lineRule="auto"/>
              <w:ind w:firstLine="0" w:firstLineChars="0"/>
              <w:jc w:val="center"/>
              <w:rPr>
                <w:rFonts w:ascii="仿宋" w:hAnsi="仿宋"/>
                <w:kern w:val="0"/>
                <w:sz w:val="21"/>
                <w:szCs w:val="21"/>
              </w:rPr>
            </w:pPr>
            <w:r>
              <w:rPr>
                <w:rFonts w:ascii="仿宋" w:hAnsi="仿宋"/>
                <w:kern w:val="0"/>
                <w:sz w:val="21"/>
                <w:szCs w:val="21"/>
              </w:rPr>
              <w:t>新</w:t>
            </w:r>
            <w:r>
              <w:rPr>
                <w:rFonts w:hint="eastAsia" w:ascii="仿宋" w:hAnsi="仿宋"/>
                <w:kern w:val="0"/>
                <w:sz w:val="21"/>
                <w:szCs w:val="21"/>
              </w:rPr>
              <w:t>建</w:t>
            </w:r>
          </w:p>
        </w:tc>
        <w:tc>
          <w:tcPr>
            <w:tcW w:w="2750" w:type="pct"/>
            <w:shd w:val="clear" w:color="auto" w:fill="auto"/>
            <w:noWrap/>
            <w:vAlign w:val="center"/>
          </w:tcPr>
          <w:p w14:paraId="701A6D12">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桥北站—三门孙—王卧龙—任屯—幸福里小区—赵屯—天兴饲料—康庄养老院—岭上—国奥新天居—迎宾市场—公路段—华丰大厦—博金大世界—千盛百货—商贸南门—向阳路—仁爱门诊—新华派出所—红光市场—红光游园—老客运站</w:t>
            </w:r>
          </w:p>
        </w:tc>
      </w:tr>
      <w:tr w14:paraId="455DE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0" w:hRule="atLeast"/>
        </w:trPr>
        <w:tc>
          <w:tcPr>
            <w:tcW w:w="310" w:type="pct"/>
            <w:shd w:val="clear" w:color="auto" w:fill="auto"/>
            <w:noWrap/>
            <w:vAlign w:val="center"/>
          </w:tcPr>
          <w:p w14:paraId="1A235C28">
            <w:pPr>
              <w:widowControl/>
              <w:spacing w:line="240" w:lineRule="auto"/>
              <w:ind w:firstLine="0" w:firstLineChars="0"/>
              <w:jc w:val="center"/>
              <w:rPr>
                <w:rFonts w:ascii="仿宋" w:hAnsi="仿宋"/>
                <w:kern w:val="0"/>
                <w:sz w:val="21"/>
                <w:szCs w:val="21"/>
              </w:rPr>
            </w:pPr>
            <w:r>
              <w:rPr>
                <w:rFonts w:ascii="仿宋" w:hAnsi="仿宋"/>
                <w:kern w:val="0"/>
                <w:sz w:val="21"/>
                <w:szCs w:val="21"/>
              </w:rPr>
              <w:t>102路</w:t>
            </w:r>
          </w:p>
        </w:tc>
        <w:tc>
          <w:tcPr>
            <w:tcW w:w="358" w:type="pct"/>
            <w:shd w:val="clear" w:color="auto" w:fill="auto"/>
            <w:noWrap/>
            <w:vAlign w:val="center"/>
          </w:tcPr>
          <w:p w14:paraId="59932353">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庄河北站—北黄海经济园区办公楼</w:t>
            </w:r>
          </w:p>
        </w:tc>
        <w:tc>
          <w:tcPr>
            <w:tcW w:w="475" w:type="pct"/>
            <w:shd w:val="clear" w:color="auto" w:fill="auto"/>
            <w:noWrap/>
            <w:vAlign w:val="center"/>
          </w:tcPr>
          <w:p w14:paraId="7CBF1B36">
            <w:pPr>
              <w:widowControl/>
              <w:spacing w:line="240" w:lineRule="auto"/>
              <w:ind w:firstLine="0" w:firstLineChars="0"/>
              <w:jc w:val="center"/>
              <w:rPr>
                <w:rFonts w:ascii="仿宋" w:hAnsi="仿宋"/>
                <w:kern w:val="0"/>
                <w:sz w:val="21"/>
                <w:szCs w:val="21"/>
              </w:rPr>
            </w:pPr>
            <w:r>
              <w:rPr>
                <w:rFonts w:ascii="仿宋" w:hAnsi="仿宋"/>
                <w:kern w:val="0"/>
                <w:sz w:val="21"/>
                <w:szCs w:val="21"/>
              </w:rPr>
              <w:t>21.4</w:t>
            </w:r>
          </w:p>
        </w:tc>
        <w:tc>
          <w:tcPr>
            <w:tcW w:w="360" w:type="pct"/>
            <w:shd w:val="clear" w:color="auto" w:fill="auto"/>
            <w:noWrap/>
            <w:vAlign w:val="center"/>
          </w:tcPr>
          <w:p w14:paraId="4A83F4AE">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老客运站—庄河港客运站</w:t>
            </w:r>
          </w:p>
        </w:tc>
        <w:tc>
          <w:tcPr>
            <w:tcW w:w="467" w:type="pct"/>
            <w:shd w:val="clear" w:color="auto" w:fill="auto"/>
            <w:noWrap/>
            <w:vAlign w:val="center"/>
          </w:tcPr>
          <w:p w14:paraId="434EA009">
            <w:pPr>
              <w:widowControl/>
              <w:spacing w:line="240" w:lineRule="auto"/>
              <w:ind w:firstLine="0" w:firstLineChars="0"/>
              <w:jc w:val="center"/>
              <w:rPr>
                <w:rFonts w:ascii="仿宋" w:hAnsi="仿宋"/>
                <w:kern w:val="0"/>
                <w:sz w:val="21"/>
                <w:szCs w:val="21"/>
              </w:rPr>
            </w:pPr>
            <w:r>
              <w:rPr>
                <w:rFonts w:ascii="仿宋" w:hAnsi="仿宋"/>
                <w:kern w:val="0"/>
                <w:sz w:val="21"/>
                <w:szCs w:val="21"/>
              </w:rPr>
              <w:t>13.5</w:t>
            </w:r>
          </w:p>
        </w:tc>
        <w:tc>
          <w:tcPr>
            <w:tcW w:w="281" w:type="pct"/>
            <w:shd w:val="clear" w:color="auto" w:fill="auto"/>
            <w:noWrap/>
            <w:vAlign w:val="center"/>
          </w:tcPr>
          <w:p w14:paraId="3A5E5788">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5050C336">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红光游园—红光市场—新华派出所—仁爱门诊—向阳路—商贸南门—新天地—文化街—昌盛街—景泰小区—水产大库—东方水岸—家属楼—龙王庙市场—豪利公寓—建设大街—鑫兴紫韵—巴黎春田—水仙公馆—中心医院—万达广场—海洋大桥—李屯—红崖学校—二冷—施屯—海洋村—邵亮—沙包子屯—沙包子屯西—打拉腰公园—打拉腰村—滨海路—庄河港—疏港路—港二路—庄河港客运站</w:t>
            </w:r>
          </w:p>
        </w:tc>
      </w:tr>
      <w:tr w14:paraId="3BAC7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0" w:hRule="atLeast"/>
        </w:trPr>
        <w:tc>
          <w:tcPr>
            <w:tcW w:w="310" w:type="pct"/>
            <w:shd w:val="clear" w:color="auto" w:fill="auto"/>
            <w:noWrap/>
            <w:vAlign w:val="center"/>
          </w:tcPr>
          <w:p w14:paraId="3D9D371C">
            <w:pPr>
              <w:widowControl/>
              <w:spacing w:line="240" w:lineRule="auto"/>
              <w:ind w:firstLine="0" w:firstLineChars="0"/>
              <w:jc w:val="center"/>
              <w:rPr>
                <w:rFonts w:ascii="仿宋" w:hAnsi="仿宋"/>
                <w:kern w:val="0"/>
                <w:sz w:val="21"/>
                <w:szCs w:val="21"/>
              </w:rPr>
            </w:pPr>
            <w:r>
              <w:rPr>
                <w:rFonts w:ascii="仿宋" w:hAnsi="仿宋"/>
                <w:kern w:val="0"/>
                <w:sz w:val="21"/>
                <w:szCs w:val="21"/>
              </w:rPr>
              <w:t>108路</w:t>
            </w:r>
          </w:p>
        </w:tc>
        <w:tc>
          <w:tcPr>
            <w:tcW w:w="358" w:type="pct"/>
            <w:shd w:val="clear" w:color="auto" w:fill="auto"/>
            <w:noWrap/>
            <w:vAlign w:val="center"/>
          </w:tcPr>
          <w:p w14:paraId="53580F54">
            <w:pPr>
              <w:widowControl/>
              <w:spacing w:line="240" w:lineRule="auto"/>
              <w:ind w:firstLine="0" w:firstLineChars="0"/>
              <w:jc w:val="center"/>
              <w:rPr>
                <w:rFonts w:ascii="仿宋" w:hAnsi="仿宋"/>
                <w:kern w:val="0"/>
                <w:sz w:val="21"/>
                <w:szCs w:val="21"/>
              </w:rPr>
            </w:pPr>
            <w:r>
              <w:rPr>
                <w:rFonts w:ascii="仿宋" w:hAnsi="仿宋"/>
                <w:kern w:val="0"/>
                <w:sz w:val="21"/>
                <w:szCs w:val="21"/>
              </w:rPr>
              <w:t>刘屯小区</w:t>
            </w:r>
            <w:r>
              <w:rPr>
                <w:rFonts w:hint="eastAsia" w:ascii="仿宋" w:hAnsi="仿宋"/>
                <w:kern w:val="0"/>
                <w:sz w:val="21"/>
                <w:szCs w:val="21"/>
                <w:lang w:eastAsia="zh-CN"/>
              </w:rPr>
              <w:t>－</w:t>
            </w:r>
            <w:r>
              <w:rPr>
                <w:rFonts w:ascii="仿宋" w:hAnsi="仿宋"/>
                <w:kern w:val="0"/>
                <w:sz w:val="21"/>
                <w:szCs w:val="21"/>
              </w:rPr>
              <w:t>壹品桃源</w:t>
            </w:r>
          </w:p>
        </w:tc>
        <w:tc>
          <w:tcPr>
            <w:tcW w:w="475" w:type="pct"/>
            <w:shd w:val="clear" w:color="auto" w:fill="auto"/>
            <w:noWrap/>
            <w:vAlign w:val="center"/>
          </w:tcPr>
          <w:p w14:paraId="7450E167">
            <w:pPr>
              <w:widowControl/>
              <w:spacing w:line="240" w:lineRule="auto"/>
              <w:ind w:firstLine="0" w:firstLineChars="0"/>
              <w:jc w:val="center"/>
              <w:rPr>
                <w:rFonts w:ascii="仿宋" w:hAnsi="仿宋"/>
                <w:kern w:val="0"/>
                <w:sz w:val="21"/>
                <w:szCs w:val="21"/>
              </w:rPr>
            </w:pPr>
            <w:r>
              <w:rPr>
                <w:rFonts w:ascii="仿宋" w:hAnsi="仿宋"/>
                <w:kern w:val="0"/>
                <w:sz w:val="21"/>
                <w:szCs w:val="21"/>
              </w:rPr>
              <w:t>13.9</w:t>
            </w:r>
          </w:p>
        </w:tc>
        <w:tc>
          <w:tcPr>
            <w:tcW w:w="360" w:type="pct"/>
            <w:shd w:val="clear" w:color="auto" w:fill="auto"/>
            <w:noWrap/>
            <w:vAlign w:val="center"/>
          </w:tcPr>
          <w:p w14:paraId="5DE42F17">
            <w:pPr>
              <w:widowControl/>
              <w:spacing w:line="240" w:lineRule="auto"/>
              <w:ind w:firstLine="0" w:firstLineChars="0"/>
              <w:jc w:val="center"/>
              <w:rPr>
                <w:rFonts w:ascii="仿宋" w:hAnsi="仿宋"/>
                <w:kern w:val="0"/>
                <w:sz w:val="21"/>
                <w:szCs w:val="21"/>
              </w:rPr>
            </w:pPr>
            <w:r>
              <w:rPr>
                <w:rFonts w:ascii="仿宋" w:hAnsi="仿宋"/>
                <w:kern w:val="0"/>
                <w:sz w:val="21"/>
                <w:szCs w:val="21"/>
              </w:rPr>
              <w:t>刘屯小区</w:t>
            </w:r>
            <w:r>
              <w:rPr>
                <w:rFonts w:hint="eastAsia" w:ascii="仿宋" w:hAnsi="仿宋"/>
                <w:kern w:val="0"/>
                <w:sz w:val="21"/>
                <w:szCs w:val="21"/>
                <w:lang w:eastAsia="zh-CN"/>
              </w:rPr>
              <w:t>－</w:t>
            </w:r>
            <w:r>
              <w:rPr>
                <w:rFonts w:ascii="仿宋" w:hAnsi="仿宋"/>
                <w:kern w:val="0"/>
                <w:sz w:val="21"/>
                <w:szCs w:val="21"/>
              </w:rPr>
              <w:t>壹品桃源</w:t>
            </w:r>
          </w:p>
        </w:tc>
        <w:tc>
          <w:tcPr>
            <w:tcW w:w="467" w:type="pct"/>
            <w:shd w:val="clear" w:color="auto" w:fill="auto"/>
            <w:noWrap/>
            <w:vAlign w:val="center"/>
          </w:tcPr>
          <w:p w14:paraId="15EF7D2B">
            <w:pPr>
              <w:widowControl/>
              <w:spacing w:line="240" w:lineRule="auto"/>
              <w:ind w:firstLine="0" w:firstLineChars="0"/>
              <w:jc w:val="center"/>
              <w:rPr>
                <w:rFonts w:ascii="仿宋" w:hAnsi="仿宋"/>
                <w:kern w:val="0"/>
                <w:sz w:val="21"/>
                <w:szCs w:val="21"/>
              </w:rPr>
            </w:pPr>
            <w:r>
              <w:rPr>
                <w:rFonts w:ascii="仿宋" w:hAnsi="仿宋"/>
                <w:kern w:val="0"/>
                <w:sz w:val="21"/>
                <w:szCs w:val="21"/>
              </w:rPr>
              <w:t>13.9</w:t>
            </w:r>
          </w:p>
        </w:tc>
        <w:tc>
          <w:tcPr>
            <w:tcW w:w="281" w:type="pct"/>
            <w:shd w:val="clear" w:color="auto" w:fill="auto"/>
            <w:noWrap/>
            <w:vAlign w:val="center"/>
          </w:tcPr>
          <w:p w14:paraId="1FA19F1C">
            <w:pPr>
              <w:widowControl/>
              <w:spacing w:line="240" w:lineRule="auto"/>
              <w:ind w:firstLine="0" w:firstLineChars="0"/>
              <w:jc w:val="center"/>
              <w:rPr>
                <w:rFonts w:ascii="仿宋" w:hAnsi="仿宋"/>
                <w:kern w:val="0"/>
                <w:sz w:val="21"/>
                <w:szCs w:val="21"/>
              </w:rPr>
            </w:pPr>
            <w:r>
              <w:rPr>
                <w:rFonts w:ascii="仿宋" w:hAnsi="仿宋"/>
                <w:kern w:val="0"/>
                <w:sz w:val="21"/>
                <w:szCs w:val="21"/>
              </w:rPr>
              <w:t>无变化</w:t>
            </w:r>
          </w:p>
        </w:tc>
        <w:tc>
          <w:tcPr>
            <w:tcW w:w="2750" w:type="pct"/>
            <w:shd w:val="clear" w:color="auto" w:fill="auto"/>
            <w:noWrap/>
            <w:vAlign w:val="center"/>
          </w:tcPr>
          <w:p w14:paraId="1661A966">
            <w:pPr>
              <w:widowControl/>
              <w:spacing w:line="240" w:lineRule="auto"/>
              <w:ind w:firstLine="0" w:firstLineChars="0"/>
              <w:jc w:val="center"/>
              <w:rPr>
                <w:rFonts w:ascii="仿宋" w:hAnsi="仿宋"/>
                <w:kern w:val="0"/>
                <w:sz w:val="21"/>
                <w:szCs w:val="21"/>
              </w:rPr>
            </w:pPr>
            <w:r>
              <w:rPr>
                <w:rFonts w:ascii="仿宋" w:hAnsi="仿宋"/>
                <w:kern w:val="0"/>
                <w:sz w:val="21"/>
                <w:szCs w:val="21"/>
              </w:rPr>
              <w:t>刘屯小区—于屯—油库北门—小姜屯—暖水屯—王沟屯—小王沟—早市—客运站—红光游园—红光市场—新华派出所—仁爱门诊—向阳路—黄海广场—延安路—红岩路—滨西路—河东旧货市场—罐头厂—林茵农贸市场—河东五队—河东六队—财政局—市残联—三十一中—人社局—公安局—世纪广场—疏港路—侯屯—壹品桃源</w:t>
            </w:r>
          </w:p>
        </w:tc>
      </w:tr>
      <w:tr w14:paraId="3A15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629EA81D">
            <w:pPr>
              <w:widowControl/>
              <w:spacing w:line="240" w:lineRule="auto"/>
              <w:ind w:firstLine="0" w:firstLineChars="0"/>
              <w:jc w:val="center"/>
              <w:rPr>
                <w:rFonts w:ascii="仿宋" w:hAnsi="仿宋"/>
                <w:kern w:val="0"/>
                <w:sz w:val="21"/>
                <w:szCs w:val="21"/>
              </w:rPr>
            </w:pPr>
            <w:r>
              <w:rPr>
                <w:rFonts w:ascii="仿宋" w:hAnsi="仿宋"/>
                <w:kern w:val="0"/>
                <w:sz w:val="21"/>
                <w:szCs w:val="21"/>
              </w:rPr>
              <w:t>109路</w:t>
            </w:r>
          </w:p>
        </w:tc>
        <w:tc>
          <w:tcPr>
            <w:tcW w:w="358" w:type="pct"/>
            <w:shd w:val="clear" w:color="auto" w:fill="auto"/>
            <w:noWrap/>
            <w:vAlign w:val="center"/>
          </w:tcPr>
          <w:p w14:paraId="7BA458DE">
            <w:pPr>
              <w:widowControl/>
              <w:spacing w:line="240" w:lineRule="auto"/>
              <w:ind w:firstLine="0" w:firstLineChars="0"/>
              <w:jc w:val="center"/>
              <w:rPr>
                <w:rFonts w:ascii="仿宋" w:hAnsi="仿宋"/>
                <w:kern w:val="0"/>
                <w:sz w:val="21"/>
                <w:szCs w:val="21"/>
              </w:rPr>
            </w:pPr>
            <w:r>
              <w:rPr>
                <w:rFonts w:ascii="仿宋" w:hAnsi="仿宋"/>
                <w:kern w:val="0"/>
                <w:sz w:val="21"/>
                <w:szCs w:val="21"/>
              </w:rPr>
              <w:t>九洲公交车场—九洲公交车场</w:t>
            </w:r>
          </w:p>
        </w:tc>
        <w:tc>
          <w:tcPr>
            <w:tcW w:w="475" w:type="pct"/>
            <w:shd w:val="clear" w:color="auto" w:fill="auto"/>
            <w:noWrap/>
            <w:vAlign w:val="center"/>
          </w:tcPr>
          <w:p w14:paraId="6AF231E9">
            <w:pPr>
              <w:widowControl/>
              <w:spacing w:line="240" w:lineRule="auto"/>
              <w:ind w:firstLine="0" w:firstLineChars="0"/>
              <w:jc w:val="center"/>
              <w:rPr>
                <w:rFonts w:ascii="仿宋" w:hAnsi="仿宋"/>
                <w:kern w:val="0"/>
                <w:sz w:val="21"/>
                <w:szCs w:val="21"/>
              </w:rPr>
            </w:pPr>
            <w:r>
              <w:rPr>
                <w:rFonts w:ascii="仿宋" w:hAnsi="仿宋"/>
                <w:kern w:val="0"/>
                <w:sz w:val="21"/>
                <w:szCs w:val="21"/>
              </w:rPr>
              <w:t>13.7</w:t>
            </w:r>
          </w:p>
        </w:tc>
        <w:tc>
          <w:tcPr>
            <w:tcW w:w="360" w:type="pct"/>
            <w:shd w:val="clear" w:color="auto" w:fill="auto"/>
            <w:noWrap/>
            <w:vAlign w:val="center"/>
          </w:tcPr>
          <w:p w14:paraId="68719BD2">
            <w:pPr>
              <w:widowControl/>
              <w:spacing w:line="240" w:lineRule="auto"/>
              <w:ind w:firstLine="0" w:firstLineChars="0"/>
              <w:jc w:val="center"/>
              <w:rPr>
                <w:rFonts w:ascii="仿宋" w:hAnsi="仿宋"/>
                <w:kern w:val="0"/>
                <w:sz w:val="21"/>
                <w:szCs w:val="21"/>
              </w:rPr>
            </w:pPr>
            <w:r>
              <w:rPr>
                <w:rFonts w:ascii="仿宋" w:hAnsi="仿宋"/>
                <w:kern w:val="0"/>
                <w:sz w:val="21"/>
                <w:szCs w:val="21"/>
              </w:rPr>
              <w:t>林茵国际</w:t>
            </w:r>
            <w:r>
              <w:rPr>
                <w:rFonts w:hint="eastAsia" w:ascii="仿宋" w:hAnsi="仿宋"/>
                <w:kern w:val="0"/>
                <w:sz w:val="21"/>
                <w:szCs w:val="21"/>
                <w:lang w:eastAsia="zh-CN"/>
              </w:rPr>
              <w:t>－</w:t>
            </w:r>
            <w:r>
              <w:rPr>
                <w:rFonts w:ascii="仿宋" w:hAnsi="仿宋"/>
                <w:kern w:val="0"/>
                <w:sz w:val="21"/>
                <w:szCs w:val="21"/>
              </w:rPr>
              <w:t>小王沟公交车场</w:t>
            </w:r>
          </w:p>
        </w:tc>
        <w:tc>
          <w:tcPr>
            <w:tcW w:w="467" w:type="pct"/>
            <w:shd w:val="clear" w:color="auto" w:fill="auto"/>
            <w:noWrap/>
            <w:vAlign w:val="center"/>
          </w:tcPr>
          <w:p w14:paraId="6973C1F2">
            <w:pPr>
              <w:widowControl/>
              <w:spacing w:line="240" w:lineRule="auto"/>
              <w:ind w:firstLine="0" w:firstLineChars="0"/>
              <w:jc w:val="center"/>
              <w:rPr>
                <w:rFonts w:ascii="仿宋" w:hAnsi="仿宋"/>
                <w:kern w:val="0"/>
                <w:sz w:val="21"/>
                <w:szCs w:val="21"/>
              </w:rPr>
            </w:pPr>
            <w:r>
              <w:rPr>
                <w:rFonts w:ascii="仿宋" w:hAnsi="仿宋"/>
                <w:kern w:val="0"/>
                <w:sz w:val="21"/>
                <w:szCs w:val="21"/>
              </w:rPr>
              <w:t>9.4</w:t>
            </w:r>
          </w:p>
        </w:tc>
        <w:tc>
          <w:tcPr>
            <w:tcW w:w="281" w:type="pct"/>
            <w:shd w:val="clear" w:color="auto" w:fill="auto"/>
            <w:noWrap/>
            <w:vAlign w:val="center"/>
          </w:tcPr>
          <w:p w14:paraId="18E44805">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08AB98E6">
            <w:pPr>
              <w:widowControl/>
              <w:spacing w:line="240" w:lineRule="auto"/>
              <w:ind w:firstLine="0" w:firstLineChars="0"/>
              <w:jc w:val="center"/>
              <w:rPr>
                <w:rFonts w:ascii="仿宋" w:hAnsi="仿宋"/>
                <w:kern w:val="0"/>
                <w:sz w:val="21"/>
                <w:szCs w:val="21"/>
              </w:rPr>
            </w:pPr>
            <w:r>
              <w:rPr>
                <w:rFonts w:ascii="仿宋" w:hAnsi="仿宋"/>
                <w:kern w:val="0"/>
                <w:sz w:val="21"/>
                <w:szCs w:val="21"/>
              </w:rPr>
              <w:t>林茵国际─河东二队南站─河东二队北站─隆宇旧货市场─后炮三队─后炮六队东站─后炮六队西站─马沟─赵屯─丘屯─黄炉屯─北方家居─中联</w:t>
            </w:r>
            <w:r>
              <w:rPr>
                <w:rFonts w:hint="eastAsia" w:ascii="仿宋" w:hAnsi="仿宋"/>
                <w:kern w:val="0"/>
                <w:sz w:val="21"/>
                <w:szCs w:val="21"/>
                <w:lang w:eastAsia="zh-CN"/>
              </w:rPr>
              <w:t>弘扬</w:t>
            </w:r>
            <w:r>
              <w:rPr>
                <w:rFonts w:ascii="仿宋" w:hAnsi="仿宋"/>
                <w:kern w:val="0"/>
                <w:sz w:val="21"/>
                <w:szCs w:val="21"/>
              </w:rPr>
              <w:t>─三环大街─徐岭屯─小王沟─小王沟公交车场（终点）</w:t>
            </w:r>
          </w:p>
        </w:tc>
      </w:tr>
      <w:tr w14:paraId="688E3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615F9D42">
            <w:pPr>
              <w:widowControl/>
              <w:spacing w:line="240" w:lineRule="auto"/>
              <w:ind w:firstLine="0" w:firstLineChars="0"/>
              <w:jc w:val="center"/>
              <w:rPr>
                <w:rFonts w:ascii="仿宋" w:hAnsi="仿宋"/>
                <w:kern w:val="0"/>
                <w:sz w:val="21"/>
                <w:szCs w:val="21"/>
              </w:rPr>
            </w:pPr>
            <w:r>
              <w:rPr>
                <w:rFonts w:ascii="仿宋" w:hAnsi="仿宋"/>
                <w:kern w:val="0"/>
                <w:sz w:val="21"/>
                <w:szCs w:val="21"/>
              </w:rPr>
              <w:t>119路</w:t>
            </w:r>
          </w:p>
        </w:tc>
        <w:tc>
          <w:tcPr>
            <w:tcW w:w="358" w:type="pct"/>
            <w:shd w:val="clear" w:color="auto" w:fill="auto"/>
            <w:noWrap/>
            <w:vAlign w:val="center"/>
          </w:tcPr>
          <w:p w14:paraId="2C20D594">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475" w:type="pct"/>
            <w:shd w:val="clear" w:color="auto" w:fill="auto"/>
            <w:noWrap/>
            <w:vAlign w:val="center"/>
          </w:tcPr>
          <w:p w14:paraId="02AE5820">
            <w:pPr>
              <w:widowControl/>
              <w:spacing w:line="240" w:lineRule="auto"/>
              <w:ind w:firstLine="0" w:firstLineChars="0"/>
              <w:jc w:val="center"/>
              <w:rPr>
                <w:rFonts w:ascii="仿宋" w:hAnsi="仿宋"/>
                <w:kern w:val="0"/>
                <w:sz w:val="21"/>
                <w:szCs w:val="21"/>
              </w:rPr>
            </w:pPr>
            <w:r>
              <w:rPr>
                <w:rFonts w:ascii="仿宋" w:hAnsi="仿宋"/>
                <w:kern w:val="0"/>
                <w:sz w:val="21"/>
                <w:szCs w:val="21"/>
              </w:rPr>
              <w:t>—</w:t>
            </w:r>
          </w:p>
        </w:tc>
        <w:tc>
          <w:tcPr>
            <w:tcW w:w="360" w:type="pct"/>
            <w:shd w:val="clear" w:color="auto" w:fill="auto"/>
            <w:noWrap/>
            <w:vAlign w:val="center"/>
          </w:tcPr>
          <w:p w14:paraId="7577706E">
            <w:pPr>
              <w:widowControl/>
              <w:spacing w:line="240" w:lineRule="auto"/>
              <w:ind w:firstLine="0" w:firstLineChars="0"/>
              <w:jc w:val="center"/>
              <w:rPr>
                <w:rFonts w:ascii="仿宋" w:hAnsi="仿宋"/>
                <w:kern w:val="0"/>
                <w:sz w:val="21"/>
                <w:szCs w:val="21"/>
              </w:rPr>
            </w:pPr>
            <w:r>
              <w:rPr>
                <w:rFonts w:ascii="仿宋" w:hAnsi="仿宋"/>
                <w:kern w:val="0"/>
                <w:sz w:val="21"/>
                <w:szCs w:val="21"/>
              </w:rPr>
              <w:t>延安路</w:t>
            </w:r>
            <w:r>
              <w:rPr>
                <w:rFonts w:hint="eastAsia" w:ascii="仿宋" w:hAnsi="仿宋"/>
                <w:kern w:val="0"/>
                <w:sz w:val="21"/>
                <w:szCs w:val="21"/>
                <w:lang w:eastAsia="zh-CN"/>
              </w:rPr>
              <w:t>－</w:t>
            </w:r>
            <w:r>
              <w:rPr>
                <w:rFonts w:ascii="仿宋" w:hAnsi="仿宋"/>
                <w:kern w:val="0"/>
                <w:sz w:val="21"/>
                <w:szCs w:val="21"/>
              </w:rPr>
              <w:t>重点高中</w:t>
            </w:r>
          </w:p>
        </w:tc>
        <w:tc>
          <w:tcPr>
            <w:tcW w:w="467" w:type="pct"/>
            <w:shd w:val="clear" w:color="auto" w:fill="auto"/>
            <w:noWrap/>
            <w:vAlign w:val="center"/>
          </w:tcPr>
          <w:p w14:paraId="02211DA2">
            <w:pPr>
              <w:widowControl/>
              <w:spacing w:line="240" w:lineRule="auto"/>
              <w:ind w:firstLine="0" w:firstLineChars="0"/>
              <w:jc w:val="center"/>
              <w:rPr>
                <w:rFonts w:ascii="仿宋" w:hAnsi="仿宋"/>
                <w:kern w:val="0"/>
                <w:sz w:val="21"/>
                <w:szCs w:val="21"/>
              </w:rPr>
            </w:pPr>
            <w:r>
              <w:rPr>
                <w:rFonts w:ascii="仿宋" w:hAnsi="仿宋"/>
                <w:kern w:val="0"/>
                <w:sz w:val="21"/>
                <w:szCs w:val="21"/>
              </w:rPr>
              <w:t>10</w:t>
            </w:r>
          </w:p>
        </w:tc>
        <w:tc>
          <w:tcPr>
            <w:tcW w:w="281" w:type="pct"/>
            <w:shd w:val="clear" w:color="auto" w:fill="auto"/>
            <w:noWrap/>
            <w:vAlign w:val="center"/>
          </w:tcPr>
          <w:p w14:paraId="4B7A8905">
            <w:pPr>
              <w:widowControl/>
              <w:spacing w:line="240" w:lineRule="auto"/>
              <w:ind w:firstLine="0" w:firstLineChars="0"/>
              <w:jc w:val="center"/>
              <w:rPr>
                <w:rFonts w:ascii="仿宋" w:hAnsi="仿宋"/>
                <w:kern w:val="0"/>
                <w:sz w:val="21"/>
                <w:szCs w:val="21"/>
              </w:rPr>
            </w:pPr>
            <w:r>
              <w:rPr>
                <w:rFonts w:ascii="仿宋" w:hAnsi="仿宋"/>
                <w:kern w:val="0"/>
                <w:sz w:val="21"/>
                <w:szCs w:val="21"/>
              </w:rPr>
              <w:t>新建</w:t>
            </w:r>
          </w:p>
        </w:tc>
        <w:tc>
          <w:tcPr>
            <w:tcW w:w="2750" w:type="pct"/>
            <w:shd w:val="clear" w:color="auto" w:fill="auto"/>
            <w:noWrap/>
            <w:vAlign w:val="center"/>
          </w:tcPr>
          <w:p w14:paraId="36E7755D">
            <w:pPr>
              <w:widowControl/>
              <w:spacing w:line="240" w:lineRule="auto"/>
              <w:ind w:firstLine="0" w:firstLineChars="0"/>
              <w:jc w:val="center"/>
              <w:rPr>
                <w:rFonts w:ascii="仿宋" w:hAnsi="仿宋"/>
                <w:kern w:val="0"/>
                <w:sz w:val="21"/>
                <w:szCs w:val="21"/>
              </w:rPr>
            </w:pPr>
            <w:r>
              <w:rPr>
                <w:rFonts w:ascii="仿宋" w:hAnsi="仿宋"/>
                <w:kern w:val="0"/>
                <w:sz w:val="21"/>
                <w:szCs w:val="21"/>
              </w:rPr>
              <w:t>延安路—黄海广场—向阳路—仁爱门诊—早市—西山湖畔北门—西山公园—西山湖畔南门—百年好合—世纪大桥—天外桃源—建设大桥—儿童公园—美好家居—中心医院住院部—中心医院（万达广场）—海洋大桥—将军府—千韵坊—将军湖农贸市场—蓝湾国际—将军湖幼儿园—铭润福邸—重点高中</w:t>
            </w:r>
          </w:p>
        </w:tc>
      </w:tr>
      <w:tr w14:paraId="7D11E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3281B3F3">
            <w:pPr>
              <w:widowControl/>
              <w:spacing w:line="240" w:lineRule="auto"/>
              <w:ind w:firstLine="0" w:firstLineChars="0"/>
              <w:jc w:val="center"/>
              <w:rPr>
                <w:rFonts w:ascii="仿宋" w:hAnsi="仿宋"/>
                <w:kern w:val="0"/>
                <w:sz w:val="21"/>
                <w:szCs w:val="21"/>
              </w:rPr>
            </w:pPr>
            <w:r>
              <w:rPr>
                <w:rFonts w:ascii="仿宋" w:hAnsi="仿宋"/>
                <w:kern w:val="0"/>
                <w:sz w:val="21"/>
                <w:szCs w:val="21"/>
              </w:rPr>
              <w:t>111路</w:t>
            </w:r>
          </w:p>
        </w:tc>
        <w:tc>
          <w:tcPr>
            <w:tcW w:w="358" w:type="pct"/>
            <w:shd w:val="clear" w:color="auto" w:fill="auto"/>
            <w:noWrap/>
            <w:vAlign w:val="center"/>
          </w:tcPr>
          <w:p w14:paraId="34E13EC1">
            <w:pPr>
              <w:widowControl/>
              <w:spacing w:line="240" w:lineRule="auto"/>
              <w:ind w:firstLine="0" w:firstLineChars="0"/>
              <w:jc w:val="center"/>
              <w:rPr>
                <w:rFonts w:ascii="仿宋" w:hAnsi="仿宋"/>
                <w:kern w:val="0"/>
                <w:sz w:val="21"/>
                <w:szCs w:val="21"/>
              </w:rPr>
            </w:pPr>
            <w:r>
              <w:rPr>
                <w:rFonts w:ascii="仿宋" w:hAnsi="仿宋"/>
                <w:kern w:val="0"/>
                <w:sz w:val="21"/>
                <w:szCs w:val="21"/>
              </w:rPr>
              <w:t>兰店车场—重点高中</w:t>
            </w:r>
          </w:p>
        </w:tc>
        <w:tc>
          <w:tcPr>
            <w:tcW w:w="475" w:type="pct"/>
            <w:shd w:val="clear" w:color="auto" w:fill="auto"/>
            <w:noWrap/>
            <w:vAlign w:val="center"/>
          </w:tcPr>
          <w:p w14:paraId="403144E9">
            <w:pPr>
              <w:widowControl/>
              <w:spacing w:line="240" w:lineRule="auto"/>
              <w:ind w:firstLine="0" w:firstLineChars="0"/>
              <w:jc w:val="center"/>
              <w:rPr>
                <w:rFonts w:ascii="仿宋" w:hAnsi="仿宋"/>
                <w:kern w:val="0"/>
                <w:sz w:val="21"/>
                <w:szCs w:val="21"/>
              </w:rPr>
            </w:pPr>
            <w:r>
              <w:rPr>
                <w:rFonts w:ascii="仿宋" w:hAnsi="仿宋"/>
                <w:kern w:val="0"/>
                <w:sz w:val="21"/>
                <w:szCs w:val="21"/>
              </w:rPr>
              <w:t>19</w:t>
            </w:r>
          </w:p>
        </w:tc>
        <w:tc>
          <w:tcPr>
            <w:tcW w:w="360" w:type="pct"/>
            <w:shd w:val="clear" w:color="auto" w:fill="auto"/>
            <w:noWrap/>
            <w:vAlign w:val="center"/>
          </w:tcPr>
          <w:p w14:paraId="3D2D6D78">
            <w:pPr>
              <w:widowControl/>
              <w:spacing w:line="240" w:lineRule="auto"/>
              <w:ind w:firstLine="0" w:firstLineChars="0"/>
              <w:jc w:val="center"/>
              <w:rPr>
                <w:rFonts w:ascii="仿宋" w:hAnsi="仿宋"/>
                <w:kern w:val="0"/>
                <w:sz w:val="21"/>
                <w:szCs w:val="21"/>
              </w:rPr>
            </w:pPr>
            <w:r>
              <w:rPr>
                <w:rFonts w:ascii="仿宋" w:hAnsi="仿宋"/>
                <w:kern w:val="0"/>
                <w:sz w:val="21"/>
                <w:szCs w:val="21"/>
              </w:rPr>
              <w:t>兰店车场-万达广场</w:t>
            </w:r>
          </w:p>
        </w:tc>
        <w:tc>
          <w:tcPr>
            <w:tcW w:w="467" w:type="pct"/>
            <w:shd w:val="clear" w:color="auto" w:fill="auto"/>
            <w:noWrap/>
            <w:vAlign w:val="center"/>
          </w:tcPr>
          <w:p w14:paraId="12CD71BC">
            <w:pPr>
              <w:widowControl/>
              <w:spacing w:line="240" w:lineRule="auto"/>
              <w:ind w:firstLine="0" w:firstLineChars="0"/>
              <w:jc w:val="center"/>
              <w:rPr>
                <w:rFonts w:ascii="仿宋" w:hAnsi="仿宋"/>
                <w:kern w:val="0"/>
                <w:sz w:val="21"/>
                <w:szCs w:val="21"/>
              </w:rPr>
            </w:pPr>
            <w:r>
              <w:rPr>
                <w:rFonts w:ascii="仿宋" w:hAnsi="仿宋"/>
                <w:kern w:val="0"/>
                <w:sz w:val="21"/>
                <w:szCs w:val="21"/>
              </w:rPr>
              <w:t>13</w:t>
            </w:r>
          </w:p>
        </w:tc>
        <w:tc>
          <w:tcPr>
            <w:tcW w:w="281" w:type="pct"/>
            <w:shd w:val="clear" w:color="auto" w:fill="auto"/>
            <w:noWrap/>
            <w:vAlign w:val="center"/>
          </w:tcPr>
          <w:p w14:paraId="6E90E44E">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47936837">
            <w:pPr>
              <w:widowControl/>
              <w:spacing w:line="240" w:lineRule="auto"/>
              <w:ind w:firstLine="0" w:firstLineChars="0"/>
              <w:jc w:val="center"/>
              <w:rPr>
                <w:rFonts w:ascii="仿宋" w:hAnsi="仿宋"/>
                <w:kern w:val="0"/>
                <w:sz w:val="21"/>
                <w:szCs w:val="21"/>
              </w:rPr>
            </w:pPr>
            <w:r>
              <w:rPr>
                <w:rFonts w:ascii="仿宋" w:hAnsi="仿宋"/>
                <w:kern w:val="0"/>
                <w:sz w:val="21"/>
                <w:szCs w:val="21"/>
              </w:rPr>
              <w:t>兰店车场—兰店园区—官甸四队—官甸五队—杨甸站—杨甸四队—干沟六队—干沟村—干沟一队—干沟七队—天阳胶辊厂—下河沿—冷库北—冷库南—河东旧货市场—滨西路—红岩路—延安路</w:t>
            </w:r>
            <w:r>
              <w:rPr>
                <w:rFonts w:hint="eastAsia" w:ascii="仿宋" w:hAnsi="仿宋"/>
                <w:kern w:val="0"/>
                <w:sz w:val="21"/>
                <w:szCs w:val="21"/>
                <w:lang w:eastAsia="zh-CN"/>
              </w:rPr>
              <w:t>－</w:t>
            </w:r>
            <w:r>
              <w:rPr>
                <w:rFonts w:ascii="仿宋" w:hAnsi="仿宋"/>
                <w:kern w:val="0"/>
                <w:sz w:val="21"/>
                <w:szCs w:val="21"/>
              </w:rPr>
              <w:t>新天地─文化街─昌盛街─景泰小区─水产大库─东方水岸─家属楼─龙王庙市场─豪利公寓─建设大街─巴黎春田北门─巴黎春田─水仙公馆─中心医院─万达广场</w:t>
            </w:r>
          </w:p>
        </w:tc>
      </w:tr>
      <w:tr w14:paraId="3116F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3282046D">
            <w:pPr>
              <w:widowControl/>
              <w:spacing w:line="240" w:lineRule="auto"/>
              <w:ind w:firstLine="0" w:firstLineChars="0"/>
              <w:jc w:val="center"/>
              <w:rPr>
                <w:rFonts w:ascii="仿宋" w:hAnsi="仿宋"/>
                <w:kern w:val="0"/>
                <w:sz w:val="21"/>
                <w:szCs w:val="21"/>
              </w:rPr>
            </w:pPr>
            <w:r>
              <w:rPr>
                <w:rFonts w:ascii="仿宋" w:hAnsi="仿宋"/>
                <w:kern w:val="0"/>
                <w:sz w:val="21"/>
                <w:szCs w:val="21"/>
              </w:rPr>
              <w:t>112路</w:t>
            </w:r>
          </w:p>
        </w:tc>
        <w:tc>
          <w:tcPr>
            <w:tcW w:w="358" w:type="pct"/>
            <w:shd w:val="clear" w:color="auto" w:fill="auto"/>
            <w:noWrap/>
            <w:vAlign w:val="center"/>
          </w:tcPr>
          <w:p w14:paraId="40F09F8A">
            <w:pPr>
              <w:widowControl/>
              <w:spacing w:line="240" w:lineRule="auto"/>
              <w:ind w:firstLine="0" w:firstLineChars="0"/>
              <w:jc w:val="center"/>
              <w:rPr>
                <w:rFonts w:ascii="仿宋" w:hAnsi="仿宋"/>
                <w:kern w:val="0"/>
                <w:sz w:val="21"/>
                <w:szCs w:val="21"/>
              </w:rPr>
            </w:pPr>
            <w:r>
              <w:rPr>
                <w:rFonts w:ascii="仿宋" w:hAnsi="仿宋"/>
                <w:kern w:val="0"/>
                <w:sz w:val="21"/>
                <w:szCs w:val="21"/>
              </w:rPr>
              <w:t>后房身—大学城</w:t>
            </w:r>
          </w:p>
        </w:tc>
        <w:tc>
          <w:tcPr>
            <w:tcW w:w="475" w:type="pct"/>
            <w:shd w:val="clear" w:color="auto" w:fill="auto"/>
            <w:noWrap/>
            <w:vAlign w:val="center"/>
          </w:tcPr>
          <w:p w14:paraId="6A255815">
            <w:pPr>
              <w:widowControl/>
              <w:spacing w:line="240" w:lineRule="auto"/>
              <w:ind w:firstLine="0" w:firstLineChars="0"/>
              <w:jc w:val="center"/>
              <w:rPr>
                <w:rFonts w:ascii="仿宋" w:hAnsi="仿宋"/>
                <w:kern w:val="0"/>
                <w:sz w:val="21"/>
                <w:szCs w:val="21"/>
              </w:rPr>
            </w:pPr>
            <w:r>
              <w:rPr>
                <w:rFonts w:ascii="仿宋" w:hAnsi="仿宋"/>
                <w:kern w:val="0"/>
                <w:sz w:val="21"/>
                <w:szCs w:val="21"/>
              </w:rPr>
              <w:t>24</w:t>
            </w:r>
          </w:p>
        </w:tc>
        <w:tc>
          <w:tcPr>
            <w:tcW w:w="360" w:type="pct"/>
            <w:shd w:val="clear" w:color="auto" w:fill="auto"/>
            <w:noWrap/>
            <w:vAlign w:val="center"/>
          </w:tcPr>
          <w:p w14:paraId="35B10D7F">
            <w:pPr>
              <w:widowControl/>
              <w:spacing w:line="240" w:lineRule="auto"/>
              <w:ind w:firstLine="0" w:firstLineChars="0"/>
              <w:jc w:val="center"/>
              <w:rPr>
                <w:rFonts w:ascii="仿宋" w:hAnsi="仿宋"/>
                <w:kern w:val="0"/>
                <w:sz w:val="21"/>
                <w:szCs w:val="21"/>
              </w:rPr>
            </w:pPr>
            <w:r>
              <w:rPr>
                <w:rFonts w:ascii="仿宋" w:hAnsi="仿宋"/>
                <w:kern w:val="0"/>
                <w:sz w:val="21"/>
                <w:szCs w:val="21"/>
              </w:rPr>
              <w:t>前洼-客运站</w:t>
            </w:r>
          </w:p>
        </w:tc>
        <w:tc>
          <w:tcPr>
            <w:tcW w:w="467" w:type="pct"/>
            <w:shd w:val="clear" w:color="auto" w:fill="auto"/>
            <w:noWrap/>
            <w:vAlign w:val="center"/>
          </w:tcPr>
          <w:p w14:paraId="645FA23E">
            <w:pPr>
              <w:widowControl/>
              <w:spacing w:line="240" w:lineRule="auto"/>
              <w:ind w:firstLine="0" w:firstLineChars="0"/>
              <w:jc w:val="center"/>
              <w:rPr>
                <w:rFonts w:ascii="仿宋" w:hAnsi="仿宋"/>
                <w:kern w:val="0"/>
                <w:sz w:val="21"/>
                <w:szCs w:val="21"/>
              </w:rPr>
            </w:pPr>
            <w:r>
              <w:rPr>
                <w:rFonts w:ascii="仿宋" w:hAnsi="仿宋"/>
                <w:kern w:val="0"/>
                <w:sz w:val="21"/>
                <w:szCs w:val="21"/>
              </w:rPr>
              <w:t>9.4</w:t>
            </w:r>
          </w:p>
        </w:tc>
        <w:tc>
          <w:tcPr>
            <w:tcW w:w="281" w:type="pct"/>
            <w:shd w:val="clear" w:color="auto" w:fill="auto"/>
            <w:noWrap/>
            <w:vAlign w:val="center"/>
          </w:tcPr>
          <w:p w14:paraId="43E00DF3">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0583EC90">
            <w:pPr>
              <w:widowControl/>
              <w:spacing w:line="240" w:lineRule="auto"/>
              <w:ind w:firstLine="0" w:firstLineChars="0"/>
              <w:jc w:val="center"/>
              <w:rPr>
                <w:rFonts w:ascii="仿宋" w:hAnsi="仿宋"/>
                <w:kern w:val="0"/>
                <w:sz w:val="21"/>
                <w:szCs w:val="21"/>
              </w:rPr>
            </w:pPr>
            <w:r>
              <w:rPr>
                <w:rFonts w:ascii="仿宋" w:hAnsi="仿宋"/>
                <w:kern w:val="0"/>
                <w:sz w:val="21"/>
                <w:szCs w:val="21"/>
              </w:rPr>
              <w:t>前洼屯—远鹏机械—吕屯—部队家属区—237部队—徐岭镇政府—杨树房—农商银行—加油站—金河铸造厂—水泥管厂—幸福里小区—赵屯—天兴饲料—康庄养老院—岭上—国奥新天居—老庙岭—大宇电子—铝箔厂—一次变—迎宾大街—客运站</w:t>
            </w:r>
          </w:p>
        </w:tc>
      </w:tr>
      <w:tr w14:paraId="2DE53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58EE0597">
            <w:pPr>
              <w:widowControl/>
              <w:spacing w:line="240" w:lineRule="auto"/>
              <w:ind w:firstLine="0" w:firstLineChars="0"/>
              <w:jc w:val="center"/>
              <w:rPr>
                <w:rFonts w:ascii="仿宋" w:hAnsi="仿宋"/>
                <w:kern w:val="0"/>
                <w:sz w:val="21"/>
                <w:szCs w:val="21"/>
              </w:rPr>
            </w:pPr>
            <w:r>
              <w:rPr>
                <w:rFonts w:ascii="仿宋" w:hAnsi="仿宋"/>
                <w:kern w:val="0"/>
                <w:sz w:val="21"/>
                <w:szCs w:val="21"/>
              </w:rPr>
              <w:t>201路</w:t>
            </w:r>
          </w:p>
        </w:tc>
        <w:tc>
          <w:tcPr>
            <w:tcW w:w="358" w:type="pct"/>
            <w:shd w:val="clear" w:color="auto" w:fill="auto"/>
            <w:noWrap/>
            <w:vAlign w:val="center"/>
          </w:tcPr>
          <w:p w14:paraId="3E596060">
            <w:pPr>
              <w:widowControl/>
              <w:spacing w:line="240" w:lineRule="auto"/>
              <w:ind w:firstLine="0" w:firstLineChars="0"/>
              <w:jc w:val="center"/>
              <w:rPr>
                <w:rFonts w:ascii="仿宋" w:hAnsi="仿宋"/>
                <w:kern w:val="0"/>
                <w:sz w:val="21"/>
                <w:szCs w:val="21"/>
              </w:rPr>
            </w:pPr>
            <w:r>
              <w:rPr>
                <w:rFonts w:ascii="仿宋" w:hAnsi="仿宋"/>
                <w:kern w:val="0"/>
                <w:sz w:val="21"/>
                <w:szCs w:val="21"/>
              </w:rPr>
              <w:t>客运站—大学城停车场</w:t>
            </w:r>
          </w:p>
        </w:tc>
        <w:tc>
          <w:tcPr>
            <w:tcW w:w="475" w:type="pct"/>
            <w:shd w:val="clear" w:color="auto" w:fill="auto"/>
            <w:noWrap/>
            <w:vAlign w:val="center"/>
          </w:tcPr>
          <w:p w14:paraId="05D319A5">
            <w:pPr>
              <w:widowControl/>
              <w:spacing w:line="240" w:lineRule="auto"/>
              <w:ind w:firstLine="0" w:firstLineChars="0"/>
              <w:jc w:val="center"/>
              <w:rPr>
                <w:rFonts w:ascii="仿宋" w:hAnsi="仿宋"/>
                <w:kern w:val="0"/>
                <w:sz w:val="21"/>
                <w:szCs w:val="21"/>
              </w:rPr>
            </w:pPr>
            <w:r>
              <w:rPr>
                <w:rFonts w:ascii="仿宋" w:hAnsi="仿宋"/>
                <w:kern w:val="0"/>
                <w:sz w:val="21"/>
                <w:szCs w:val="21"/>
              </w:rPr>
              <w:t>18.5</w:t>
            </w:r>
          </w:p>
        </w:tc>
        <w:tc>
          <w:tcPr>
            <w:tcW w:w="360" w:type="pct"/>
            <w:shd w:val="clear" w:color="auto" w:fill="auto"/>
            <w:noWrap/>
            <w:vAlign w:val="center"/>
          </w:tcPr>
          <w:p w14:paraId="0E8B8F75">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w:t>
            </w:r>
            <w:r>
              <w:rPr>
                <w:rFonts w:hint="eastAsia" w:ascii="仿宋" w:hAnsi="仿宋"/>
                <w:kern w:val="0"/>
                <w:sz w:val="21"/>
                <w:szCs w:val="21"/>
                <w:lang w:eastAsia="zh-CN"/>
              </w:rPr>
              <w:t>－</w:t>
            </w:r>
            <w:r>
              <w:rPr>
                <w:rFonts w:ascii="仿宋" w:hAnsi="仿宋"/>
                <w:kern w:val="0"/>
                <w:sz w:val="21"/>
                <w:szCs w:val="21"/>
              </w:rPr>
              <w:t>大学城</w:t>
            </w:r>
          </w:p>
        </w:tc>
        <w:tc>
          <w:tcPr>
            <w:tcW w:w="467" w:type="pct"/>
            <w:shd w:val="clear" w:color="auto" w:fill="auto"/>
            <w:noWrap/>
            <w:vAlign w:val="center"/>
          </w:tcPr>
          <w:p w14:paraId="1B0B3E0B">
            <w:pPr>
              <w:widowControl/>
              <w:spacing w:line="240" w:lineRule="auto"/>
              <w:ind w:firstLine="0" w:firstLineChars="0"/>
              <w:jc w:val="center"/>
              <w:rPr>
                <w:rFonts w:ascii="仿宋" w:hAnsi="仿宋"/>
                <w:kern w:val="0"/>
                <w:sz w:val="21"/>
                <w:szCs w:val="21"/>
              </w:rPr>
            </w:pPr>
            <w:r>
              <w:rPr>
                <w:rFonts w:ascii="仿宋" w:hAnsi="仿宋"/>
                <w:kern w:val="0"/>
                <w:sz w:val="21"/>
                <w:szCs w:val="21"/>
              </w:rPr>
              <w:t>18.5</w:t>
            </w:r>
          </w:p>
        </w:tc>
        <w:tc>
          <w:tcPr>
            <w:tcW w:w="281" w:type="pct"/>
            <w:shd w:val="clear" w:color="auto" w:fill="auto"/>
            <w:noWrap/>
            <w:vAlign w:val="center"/>
          </w:tcPr>
          <w:p w14:paraId="1957EADD">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5CD9E2F8">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红光游园—红光市场—新华派出所—仁爱门诊—向阳路—商贸南门—新天地—文化街—昌盛街—景泰花园—三十一中—市残联—龙王庙市场—豪利公寓—建设大街—巴黎春田北门—水仙公馆—医院北门—中心医院住院部—中心医院（万达广场）—海洋大桥—李屯—重点高中—铭润福邸—将军湖幼儿园—南四街—南三街—海鸥化工—卓远重工东门—卓远重工西门—董屯—电管站—昌盛中心小学—高屯—后高屯—前高屯北站—前高屯南站—博大数控—张屯小区—四高中—速成职业学校—大学城东站—大学城西站—大学城停车场</w:t>
            </w:r>
          </w:p>
        </w:tc>
      </w:tr>
      <w:tr w14:paraId="236EF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310" w:type="pct"/>
            <w:shd w:val="clear" w:color="auto" w:fill="auto"/>
            <w:noWrap/>
            <w:vAlign w:val="center"/>
          </w:tcPr>
          <w:p w14:paraId="4D85BFC9">
            <w:pPr>
              <w:widowControl/>
              <w:spacing w:line="240" w:lineRule="auto"/>
              <w:ind w:firstLine="0" w:firstLineChars="0"/>
              <w:jc w:val="center"/>
              <w:rPr>
                <w:rFonts w:ascii="仿宋" w:hAnsi="仿宋"/>
                <w:kern w:val="0"/>
                <w:sz w:val="21"/>
                <w:szCs w:val="21"/>
              </w:rPr>
            </w:pPr>
            <w:r>
              <w:rPr>
                <w:rFonts w:ascii="仿宋" w:hAnsi="仿宋"/>
                <w:kern w:val="0"/>
                <w:sz w:val="21"/>
                <w:szCs w:val="21"/>
              </w:rPr>
              <w:t>202路</w:t>
            </w:r>
          </w:p>
        </w:tc>
        <w:tc>
          <w:tcPr>
            <w:tcW w:w="358" w:type="pct"/>
            <w:shd w:val="clear" w:color="auto" w:fill="auto"/>
            <w:noWrap/>
            <w:vAlign w:val="center"/>
          </w:tcPr>
          <w:p w14:paraId="1F1B4F93">
            <w:pPr>
              <w:widowControl/>
              <w:spacing w:line="240" w:lineRule="auto"/>
              <w:ind w:firstLine="0" w:firstLineChars="0"/>
              <w:jc w:val="center"/>
              <w:rPr>
                <w:rFonts w:ascii="仿宋" w:hAnsi="仿宋"/>
                <w:kern w:val="0"/>
                <w:sz w:val="21"/>
                <w:szCs w:val="21"/>
              </w:rPr>
            </w:pPr>
            <w:r>
              <w:rPr>
                <w:rFonts w:ascii="仿宋" w:hAnsi="仿宋"/>
                <w:kern w:val="0"/>
                <w:sz w:val="21"/>
                <w:szCs w:val="21"/>
              </w:rPr>
              <w:t>博大数控—大唐府</w:t>
            </w:r>
          </w:p>
        </w:tc>
        <w:tc>
          <w:tcPr>
            <w:tcW w:w="475" w:type="pct"/>
            <w:shd w:val="clear" w:color="auto" w:fill="auto"/>
            <w:noWrap/>
            <w:vAlign w:val="center"/>
          </w:tcPr>
          <w:p w14:paraId="75C86DCD">
            <w:pPr>
              <w:widowControl/>
              <w:spacing w:line="240" w:lineRule="auto"/>
              <w:ind w:firstLine="0" w:firstLineChars="0"/>
              <w:jc w:val="center"/>
              <w:rPr>
                <w:rFonts w:ascii="仿宋" w:hAnsi="仿宋"/>
                <w:kern w:val="0"/>
                <w:sz w:val="21"/>
                <w:szCs w:val="21"/>
              </w:rPr>
            </w:pPr>
            <w:r>
              <w:rPr>
                <w:rFonts w:ascii="仿宋" w:hAnsi="仿宋"/>
                <w:kern w:val="0"/>
                <w:sz w:val="21"/>
                <w:szCs w:val="21"/>
              </w:rPr>
              <w:t>16</w:t>
            </w:r>
          </w:p>
        </w:tc>
        <w:tc>
          <w:tcPr>
            <w:tcW w:w="360" w:type="pct"/>
            <w:shd w:val="clear" w:color="auto" w:fill="auto"/>
            <w:noWrap/>
            <w:vAlign w:val="center"/>
          </w:tcPr>
          <w:p w14:paraId="2529428B">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w:t>
            </w:r>
            <w:r>
              <w:rPr>
                <w:rFonts w:hint="eastAsia" w:ascii="仿宋" w:hAnsi="仿宋"/>
                <w:kern w:val="0"/>
                <w:sz w:val="21"/>
                <w:szCs w:val="21"/>
                <w:lang w:eastAsia="zh-CN"/>
              </w:rPr>
              <w:t>－</w:t>
            </w:r>
            <w:r>
              <w:rPr>
                <w:rFonts w:ascii="仿宋" w:hAnsi="仿宋"/>
                <w:kern w:val="0"/>
                <w:sz w:val="21"/>
                <w:szCs w:val="21"/>
              </w:rPr>
              <w:t>大唐府</w:t>
            </w:r>
          </w:p>
        </w:tc>
        <w:tc>
          <w:tcPr>
            <w:tcW w:w="467" w:type="pct"/>
            <w:shd w:val="clear" w:color="auto" w:fill="auto"/>
            <w:noWrap/>
            <w:vAlign w:val="center"/>
          </w:tcPr>
          <w:p w14:paraId="3AEA85B8">
            <w:pPr>
              <w:widowControl/>
              <w:spacing w:line="240" w:lineRule="auto"/>
              <w:ind w:firstLine="0" w:firstLineChars="0"/>
              <w:jc w:val="center"/>
              <w:rPr>
                <w:rFonts w:ascii="仿宋" w:hAnsi="仿宋"/>
                <w:kern w:val="0"/>
                <w:sz w:val="21"/>
                <w:szCs w:val="21"/>
              </w:rPr>
            </w:pPr>
            <w:r>
              <w:rPr>
                <w:rFonts w:ascii="仿宋" w:hAnsi="仿宋"/>
                <w:kern w:val="0"/>
                <w:sz w:val="21"/>
                <w:szCs w:val="21"/>
              </w:rPr>
              <w:t>16.5</w:t>
            </w:r>
          </w:p>
        </w:tc>
        <w:tc>
          <w:tcPr>
            <w:tcW w:w="281" w:type="pct"/>
            <w:shd w:val="clear" w:color="auto" w:fill="auto"/>
            <w:noWrap/>
            <w:vAlign w:val="center"/>
          </w:tcPr>
          <w:p w14:paraId="5218B8A9">
            <w:pPr>
              <w:widowControl/>
              <w:spacing w:line="240" w:lineRule="auto"/>
              <w:ind w:firstLine="0" w:firstLineChars="0"/>
              <w:jc w:val="center"/>
              <w:rPr>
                <w:rFonts w:ascii="仿宋" w:hAnsi="仿宋"/>
                <w:kern w:val="0"/>
                <w:sz w:val="21"/>
                <w:szCs w:val="21"/>
              </w:rPr>
            </w:pPr>
            <w:r>
              <w:rPr>
                <w:rFonts w:ascii="仿宋" w:hAnsi="仿宋"/>
                <w:kern w:val="0"/>
                <w:sz w:val="21"/>
                <w:szCs w:val="21"/>
              </w:rPr>
              <w:t>改建</w:t>
            </w:r>
          </w:p>
        </w:tc>
        <w:tc>
          <w:tcPr>
            <w:tcW w:w="2750" w:type="pct"/>
            <w:shd w:val="clear" w:color="auto" w:fill="auto"/>
            <w:noWrap/>
            <w:vAlign w:val="center"/>
          </w:tcPr>
          <w:p w14:paraId="19711CEA">
            <w:pPr>
              <w:widowControl/>
              <w:spacing w:line="240" w:lineRule="auto"/>
              <w:ind w:firstLine="0" w:firstLineChars="0"/>
              <w:jc w:val="center"/>
              <w:rPr>
                <w:rFonts w:ascii="仿宋" w:hAnsi="仿宋"/>
                <w:kern w:val="0"/>
                <w:sz w:val="21"/>
                <w:szCs w:val="21"/>
              </w:rPr>
            </w:pPr>
            <w:r>
              <w:rPr>
                <w:rFonts w:ascii="仿宋" w:hAnsi="仿宋"/>
                <w:kern w:val="0"/>
                <w:sz w:val="21"/>
                <w:szCs w:val="21"/>
              </w:rPr>
              <w:t>大学城─九成智慧城─黄古咀港─路通酒店─黄古咀─小盐场─王金坑─伙食─孙坦─国秀养殖─东岭─张嘴─西河圈─小唐府─东达办事处─园区管委会─大唐府</w:t>
            </w:r>
          </w:p>
        </w:tc>
      </w:tr>
    </w:tbl>
    <w:p w14:paraId="65B2D7E7">
      <w:pPr>
        <w:spacing w:line="240" w:lineRule="auto"/>
        <w:ind w:firstLine="0" w:firstLineChars="0"/>
        <w:jc w:val="center"/>
        <w:rPr>
          <w:rFonts w:ascii="Calibri" w:hAnsi="Calibri" w:eastAsia="宋体"/>
          <w:sz w:val="21"/>
        </w:rPr>
      </w:pPr>
    </w:p>
    <w:p w14:paraId="53F859F9">
      <w:pPr>
        <w:spacing w:line="240" w:lineRule="auto"/>
        <w:ind w:firstLine="0" w:firstLineChars="0"/>
        <w:jc w:val="center"/>
        <w:rPr>
          <w:rFonts w:ascii="Calibri" w:hAnsi="Calibri" w:eastAsia="宋体"/>
          <w:sz w:val="21"/>
        </w:rPr>
      </w:pPr>
    </w:p>
    <w:p w14:paraId="1E938906">
      <w:pPr>
        <w:spacing w:line="240" w:lineRule="auto"/>
        <w:ind w:firstLine="0" w:firstLineChars="0"/>
        <w:jc w:val="center"/>
        <w:rPr>
          <w:rFonts w:ascii="Calibri" w:hAnsi="Calibri" w:eastAsia="宋体"/>
          <w:sz w:val="21"/>
        </w:rPr>
      </w:pPr>
    </w:p>
    <w:p w14:paraId="1A941003">
      <w:pPr>
        <w:spacing w:line="240" w:lineRule="auto"/>
        <w:ind w:firstLine="0" w:firstLineChars="0"/>
        <w:jc w:val="center"/>
        <w:rPr>
          <w:rFonts w:ascii="Calibri" w:hAnsi="Calibri" w:eastAsia="宋体"/>
          <w:sz w:val="21"/>
        </w:rPr>
      </w:pPr>
    </w:p>
    <w:p w14:paraId="05387554">
      <w:pPr>
        <w:spacing w:line="240" w:lineRule="auto"/>
        <w:ind w:firstLine="0" w:firstLineChars="0"/>
        <w:jc w:val="center"/>
        <w:rPr>
          <w:rFonts w:ascii="Calibri" w:hAnsi="Calibri" w:eastAsia="宋体"/>
          <w:sz w:val="21"/>
        </w:rPr>
      </w:pPr>
    </w:p>
    <w:p w14:paraId="469CC791">
      <w:pPr>
        <w:spacing w:line="240" w:lineRule="auto"/>
        <w:ind w:firstLine="0" w:firstLineChars="0"/>
        <w:jc w:val="center"/>
        <w:rPr>
          <w:rFonts w:ascii="Calibri" w:hAnsi="Calibri" w:eastAsia="宋体"/>
          <w:sz w:val="21"/>
        </w:rPr>
      </w:pPr>
    </w:p>
    <w:p w14:paraId="41A5DCE2">
      <w:pPr>
        <w:spacing w:line="240" w:lineRule="auto"/>
        <w:ind w:firstLine="0" w:firstLineChars="0"/>
        <w:jc w:val="center"/>
        <w:rPr>
          <w:rFonts w:ascii="Calibri" w:hAnsi="Calibri" w:eastAsia="宋体"/>
          <w:sz w:val="21"/>
        </w:rPr>
      </w:pPr>
    </w:p>
    <w:p w14:paraId="1A042E13">
      <w:pPr>
        <w:spacing w:line="240" w:lineRule="auto"/>
        <w:ind w:firstLine="0" w:firstLineChars="0"/>
        <w:jc w:val="center"/>
        <w:rPr>
          <w:rFonts w:ascii="Calibri" w:hAnsi="Calibri" w:eastAsia="宋体"/>
          <w:sz w:val="21"/>
        </w:rPr>
        <w:sectPr>
          <w:pgSz w:w="11906" w:h="16838"/>
          <w:pgMar w:top="1440" w:right="1418" w:bottom="1440" w:left="1418" w:header="851" w:footer="992" w:gutter="0"/>
          <w:cols w:space="425" w:num="1"/>
          <w:docGrid w:type="lines" w:linePitch="312" w:charSpace="0"/>
        </w:sectPr>
      </w:pPr>
    </w:p>
    <w:p w14:paraId="2071AD2C">
      <w:pPr>
        <w:spacing w:line="240" w:lineRule="auto"/>
        <w:ind w:firstLine="0" w:firstLineChars="0"/>
        <w:jc w:val="center"/>
        <w:rPr>
          <w:rFonts w:ascii="Calibri" w:hAnsi="Calibri" w:eastAsia="宋体"/>
          <w:sz w:val="21"/>
        </w:rPr>
      </w:pPr>
      <w:r>
        <w:rPr>
          <w:rFonts w:ascii="Calibri" w:hAnsi="Calibri" w:eastAsia="宋体"/>
          <w:sz w:val="21"/>
        </w:rPr>
        <w:drawing>
          <wp:anchor distT="0" distB="0" distL="114300" distR="114300" simplePos="0" relativeHeight="251659264" behindDoc="0" locked="0" layoutInCell="1" allowOverlap="1">
            <wp:simplePos x="0" y="0"/>
            <wp:positionH relativeFrom="margin">
              <wp:posOffset>28575</wp:posOffset>
            </wp:positionH>
            <wp:positionV relativeFrom="paragraph">
              <wp:posOffset>-163830</wp:posOffset>
            </wp:positionV>
            <wp:extent cx="8404860" cy="5937885"/>
            <wp:effectExtent l="0" t="0" r="0" b="635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405052" cy="5937662"/>
                    </a:xfrm>
                    <a:prstGeom prst="rect">
                      <a:avLst/>
                    </a:prstGeom>
                  </pic:spPr>
                </pic:pic>
              </a:graphicData>
            </a:graphic>
          </wp:anchor>
        </w:drawing>
      </w:r>
    </w:p>
    <w:p w14:paraId="45D1F344">
      <w:pPr>
        <w:ind w:firstLine="0" w:firstLineChars="0"/>
        <w:jc w:val="center"/>
        <w:rPr>
          <w:rFonts w:ascii="宋体" w:hAnsi="宋体" w:eastAsia="宋体"/>
          <w:b/>
          <w:bCs/>
          <w:sz w:val="21"/>
          <w:szCs w:val="21"/>
        </w:rPr>
      </w:pPr>
    </w:p>
    <w:p w14:paraId="7C71DC38">
      <w:pPr>
        <w:ind w:firstLine="0" w:firstLineChars="0"/>
        <w:jc w:val="center"/>
        <w:rPr>
          <w:rFonts w:ascii="宋体" w:hAnsi="宋体" w:eastAsia="宋体"/>
          <w:b/>
          <w:bCs/>
          <w:sz w:val="21"/>
          <w:szCs w:val="21"/>
        </w:rPr>
      </w:pPr>
    </w:p>
    <w:p w14:paraId="04BC7D33">
      <w:pPr>
        <w:ind w:firstLine="0" w:firstLineChars="0"/>
        <w:jc w:val="center"/>
        <w:rPr>
          <w:rFonts w:ascii="宋体" w:hAnsi="宋体" w:eastAsia="宋体"/>
          <w:b/>
          <w:bCs/>
          <w:sz w:val="21"/>
          <w:szCs w:val="21"/>
        </w:rPr>
      </w:pPr>
    </w:p>
    <w:p w14:paraId="1B29A521">
      <w:pPr>
        <w:ind w:firstLine="0" w:firstLineChars="0"/>
        <w:jc w:val="center"/>
        <w:rPr>
          <w:rFonts w:ascii="宋体" w:hAnsi="宋体" w:eastAsia="宋体"/>
          <w:b/>
          <w:bCs/>
          <w:sz w:val="21"/>
          <w:szCs w:val="21"/>
        </w:rPr>
      </w:pPr>
    </w:p>
    <w:p w14:paraId="40FE518F">
      <w:pPr>
        <w:ind w:firstLine="0" w:firstLineChars="0"/>
        <w:jc w:val="center"/>
        <w:rPr>
          <w:rFonts w:ascii="宋体" w:hAnsi="宋体" w:eastAsia="宋体"/>
          <w:b/>
          <w:bCs/>
          <w:sz w:val="21"/>
          <w:szCs w:val="21"/>
        </w:rPr>
      </w:pPr>
    </w:p>
    <w:p w14:paraId="479A846C">
      <w:pPr>
        <w:ind w:firstLine="0" w:firstLineChars="0"/>
        <w:jc w:val="center"/>
        <w:rPr>
          <w:rFonts w:ascii="宋体" w:hAnsi="宋体" w:eastAsia="宋体"/>
          <w:b/>
          <w:bCs/>
          <w:sz w:val="21"/>
          <w:szCs w:val="21"/>
        </w:rPr>
      </w:pPr>
    </w:p>
    <w:p w14:paraId="0CD146E7">
      <w:pPr>
        <w:ind w:firstLine="0" w:firstLineChars="0"/>
        <w:jc w:val="center"/>
        <w:rPr>
          <w:rFonts w:ascii="宋体" w:hAnsi="宋体" w:eastAsia="宋体"/>
          <w:b/>
          <w:bCs/>
          <w:sz w:val="21"/>
          <w:szCs w:val="21"/>
        </w:rPr>
      </w:pPr>
    </w:p>
    <w:p w14:paraId="4EF6B8D7">
      <w:pPr>
        <w:ind w:firstLine="0" w:firstLineChars="0"/>
        <w:jc w:val="center"/>
        <w:rPr>
          <w:rFonts w:ascii="宋体" w:hAnsi="宋体" w:eastAsia="宋体"/>
          <w:b/>
          <w:bCs/>
          <w:sz w:val="21"/>
          <w:szCs w:val="21"/>
        </w:rPr>
      </w:pPr>
    </w:p>
    <w:p w14:paraId="1C4DD06E">
      <w:pPr>
        <w:ind w:firstLine="0" w:firstLineChars="0"/>
        <w:jc w:val="center"/>
        <w:rPr>
          <w:rFonts w:ascii="宋体" w:hAnsi="宋体" w:eastAsia="宋体"/>
          <w:b/>
          <w:bCs/>
          <w:sz w:val="21"/>
          <w:szCs w:val="21"/>
        </w:rPr>
      </w:pPr>
    </w:p>
    <w:p w14:paraId="252BFF6E">
      <w:pPr>
        <w:ind w:firstLine="0" w:firstLineChars="0"/>
        <w:jc w:val="center"/>
        <w:rPr>
          <w:rFonts w:ascii="宋体" w:hAnsi="宋体" w:eastAsia="宋体"/>
          <w:b/>
          <w:bCs/>
          <w:sz w:val="21"/>
          <w:szCs w:val="21"/>
        </w:rPr>
      </w:pPr>
    </w:p>
    <w:p w14:paraId="39963549">
      <w:pPr>
        <w:ind w:firstLine="0" w:firstLineChars="0"/>
        <w:jc w:val="center"/>
        <w:rPr>
          <w:rFonts w:ascii="宋体" w:hAnsi="宋体" w:eastAsia="宋体"/>
          <w:b/>
          <w:bCs/>
          <w:sz w:val="21"/>
          <w:szCs w:val="21"/>
        </w:rPr>
      </w:pPr>
    </w:p>
    <w:p w14:paraId="2124E199">
      <w:pPr>
        <w:ind w:firstLine="0" w:firstLineChars="0"/>
        <w:jc w:val="center"/>
        <w:rPr>
          <w:rFonts w:ascii="宋体" w:hAnsi="宋体" w:eastAsia="宋体"/>
          <w:b/>
          <w:bCs/>
          <w:sz w:val="21"/>
          <w:szCs w:val="21"/>
        </w:rPr>
      </w:pPr>
    </w:p>
    <w:p w14:paraId="613A28A3">
      <w:pPr>
        <w:ind w:firstLine="0" w:firstLineChars="0"/>
        <w:jc w:val="center"/>
        <w:rPr>
          <w:rFonts w:ascii="宋体" w:hAnsi="宋体" w:eastAsia="宋体"/>
          <w:b/>
          <w:bCs/>
          <w:sz w:val="21"/>
          <w:szCs w:val="21"/>
        </w:rPr>
      </w:pPr>
    </w:p>
    <w:p w14:paraId="1E15E09B">
      <w:pPr>
        <w:ind w:firstLine="0" w:firstLineChars="0"/>
        <w:jc w:val="center"/>
        <w:rPr>
          <w:rFonts w:ascii="宋体" w:hAnsi="宋体" w:eastAsia="宋体"/>
          <w:b/>
          <w:bCs/>
          <w:sz w:val="21"/>
          <w:szCs w:val="21"/>
        </w:rPr>
      </w:pPr>
    </w:p>
    <w:p w14:paraId="5013D65E">
      <w:pPr>
        <w:ind w:firstLine="0" w:firstLineChars="0"/>
        <w:jc w:val="center"/>
        <w:rPr>
          <w:rFonts w:ascii="宋体" w:hAnsi="宋体" w:eastAsia="宋体"/>
          <w:bCs/>
          <w:sz w:val="21"/>
          <w:szCs w:val="21"/>
        </w:rPr>
      </w:pPr>
    </w:p>
    <w:p w14:paraId="440D2B94">
      <w:pPr>
        <w:ind w:firstLine="0" w:firstLineChars="0"/>
        <w:jc w:val="center"/>
        <w:rPr>
          <w:rFonts w:ascii="仿宋" w:hAnsi="仿宋"/>
          <w:bCs/>
          <w:sz w:val="21"/>
          <w:szCs w:val="21"/>
        </w:rPr>
      </w:pPr>
      <w:r>
        <w:rPr>
          <w:rFonts w:hint="eastAsia" w:ascii="仿宋" w:hAnsi="仿宋"/>
          <w:bCs/>
          <w:sz w:val="21"/>
          <w:szCs w:val="21"/>
        </w:rPr>
        <w:t>图</w:t>
      </w:r>
      <w:r>
        <w:rPr>
          <w:rFonts w:ascii="仿宋" w:hAnsi="仿宋"/>
          <w:bCs/>
          <w:sz w:val="21"/>
          <w:szCs w:val="21"/>
        </w:rPr>
        <w:t xml:space="preserve">2 </w:t>
      </w:r>
      <w:r>
        <w:rPr>
          <w:rFonts w:hint="eastAsia" w:ascii="仿宋" w:hAnsi="仿宋"/>
          <w:bCs/>
          <w:sz w:val="21"/>
          <w:szCs w:val="21"/>
        </w:rPr>
        <w:t>庄河市公交线网布局图</w:t>
      </w:r>
    </w:p>
    <w:p w14:paraId="6C0A767A">
      <w:pPr>
        <w:pStyle w:val="2"/>
        <w:ind w:firstLine="417" w:firstLineChars="174"/>
        <w:rPr>
          <w:rFonts w:ascii="Calibri" w:hAnsi="Calibri" w:eastAsia="宋体"/>
          <w:b/>
          <w:bCs/>
          <w:sz w:val="24"/>
        </w:rPr>
        <w:sectPr>
          <w:pgSz w:w="16838" w:h="11906" w:orient="landscape"/>
          <w:pgMar w:top="1134" w:right="1134" w:bottom="1134" w:left="1134" w:header="851" w:footer="737" w:gutter="0"/>
          <w:cols w:space="425" w:num="1"/>
          <w:docGrid w:type="linesAndChars" w:linePitch="381" w:charSpace="0"/>
        </w:sectPr>
      </w:pPr>
    </w:p>
    <w:p w14:paraId="484DA841">
      <w:pPr>
        <w:ind w:firstLine="482"/>
        <w:rPr>
          <w:rFonts w:ascii="仿宋" w:hAnsi="仿宋"/>
          <w:sz w:val="24"/>
        </w:rPr>
      </w:pPr>
      <w:r>
        <w:rPr>
          <w:rFonts w:ascii="仿宋" w:hAnsi="仿宋"/>
          <w:b/>
          <w:sz w:val="24"/>
        </w:rPr>
        <w:t>加强城市快速公交系统建设，引导城市公交快速发展</w:t>
      </w:r>
      <w:r>
        <w:rPr>
          <w:rFonts w:ascii="仿宋" w:hAnsi="仿宋"/>
          <w:sz w:val="24"/>
        </w:rPr>
        <w:t>。加强城市快速公交形态建设，促进庄河中心城区用地跨越河流、山体呈组团式发展，远期结合市域轨道交通，形成便捷的骨干交通走廊，引导居住、就业岗位的转移，逐渐形成组团式发展模式。规划5条快速公交线路，加强对庄河北站、老客运站、庄河港、东大学城和西大学城等重点节点衔接，运行方式采用大站快车的方式，具体线路情况见表3</w:t>
      </w:r>
      <w:r>
        <w:rPr>
          <w:rFonts w:hint="eastAsia" w:ascii="仿宋" w:hAnsi="仿宋"/>
          <w:sz w:val="24"/>
        </w:rPr>
        <w:t>和图</w:t>
      </w:r>
      <w:r>
        <w:rPr>
          <w:rFonts w:ascii="仿宋" w:hAnsi="仿宋"/>
          <w:sz w:val="24"/>
        </w:rPr>
        <w:t>3：</w:t>
      </w:r>
    </w:p>
    <w:p w14:paraId="663C9722">
      <w:pPr>
        <w:ind w:firstLine="0" w:firstLineChars="0"/>
        <w:jc w:val="center"/>
        <w:rPr>
          <w:rFonts w:ascii="仿宋" w:hAnsi="仿宋"/>
          <w:bCs/>
          <w:sz w:val="21"/>
          <w:szCs w:val="20"/>
        </w:rPr>
      </w:pPr>
      <w:r>
        <w:rPr>
          <w:rFonts w:ascii="仿宋" w:hAnsi="仿宋"/>
          <w:bCs/>
          <w:sz w:val="21"/>
          <w:szCs w:val="20"/>
        </w:rPr>
        <w:t>表3 快速公交线路规划方案</w:t>
      </w:r>
    </w:p>
    <w:tbl>
      <w:tblPr>
        <w:tblStyle w:val="12"/>
        <w:tblW w:w="50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139"/>
        <w:gridCol w:w="1460"/>
        <w:gridCol w:w="5319"/>
      </w:tblGrid>
      <w:tr w14:paraId="7915C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432" w:type="pct"/>
            <w:shd w:val="clear" w:color="auto" w:fill="auto"/>
            <w:vAlign w:val="center"/>
          </w:tcPr>
          <w:p w14:paraId="3D7EE52B">
            <w:pPr>
              <w:widowControl/>
              <w:spacing w:line="240" w:lineRule="auto"/>
              <w:ind w:firstLine="0" w:firstLineChars="0"/>
              <w:jc w:val="center"/>
              <w:rPr>
                <w:rFonts w:ascii="仿宋" w:hAnsi="仿宋"/>
                <w:kern w:val="0"/>
                <w:sz w:val="21"/>
                <w:szCs w:val="21"/>
              </w:rPr>
            </w:pPr>
            <w:r>
              <w:rPr>
                <w:rFonts w:ascii="仿宋" w:hAnsi="仿宋"/>
                <w:kern w:val="0"/>
                <w:sz w:val="21"/>
                <w:szCs w:val="21"/>
              </w:rPr>
              <w:t>线路</w:t>
            </w:r>
          </w:p>
        </w:tc>
        <w:tc>
          <w:tcPr>
            <w:tcW w:w="657" w:type="pct"/>
            <w:shd w:val="clear" w:color="auto" w:fill="auto"/>
            <w:vAlign w:val="center"/>
          </w:tcPr>
          <w:p w14:paraId="482A7917">
            <w:pPr>
              <w:widowControl/>
              <w:spacing w:line="240" w:lineRule="auto"/>
              <w:ind w:firstLine="0" w:firstLineChars="0"/>
              <w:jc w:val="center"/>
              <w:rPr>
                <w:rFonts w:ascii="仿宋" w:hAnsi="仿宋"/>
                <w:kern w:val="0"/>
                <w:sz w:val="21"/>
                <w:szCs w:val="21"/>
              </w:rPr>
            </w:pPr>
            <w:r>
              <w:rPr>
                <w:rFonts w:ascii="仿宋" w:hAnsi="仿宋"/>
                <w:kern w:val="0"/>
                <w:sz w:val="21"/>
                <w:szCs w:val="21"/>
              </w:rPr>
              <w:t>首末站</w:t>
            </w:r>
          </w:p>
        </w:tc>
        <w:tc>
          <w:tcPr>
            <w:tcW w:w="842" w:type="pct"/>
            <w:shd w:val="clear" w:color="auto" w:fill="auto"/>
            <w:vAlign w:val="center"/>
          </w:tcPr>
          <w:p w14:paraId="2074325C">
            <w:pPr>
              <w:widowControl/>
              <w:spacing w:line="240" w:lineRule="auto"/>
              <w:ind w:firstLine="0" w:firstLineChars="0"/>
              <w:jc w:val="center"/>
              <w:rPr>
                <w:rFonts w:ascii="仿宋" w:hAnsi="仿宋"/>
                <w:kern w:val="0"/>
                <w:sz w:val="21"/>
                <w:szCs w:val="21"/>
              </w:rPr>
            </w:pPr>
            <w:r>
              <w:rPr>
                <w:rFonts w:ascii="仿宋" w:hAnsi="仿宋"/>
                <w:kern w:val="0"/>
                <w:sz w:val="21"/>
                <w:szCs w:val="21"/>
              </w:rPr>
              <w:t>线长（km）</w:t>
            </w:r>
          </w:p>
        </w:tc>
        <w:tc>
          <w:tcPr>
            <w:tcW w:w="3067" w:type="pct"/>
            <w:shd w:val="clear" w:color="auto" w:fill="auto"/>
            <w:vAlign w:val="center"/>
          </w:tcPr>
          <w:p w14:paraId="24BCC672">
            <w:pPr>
              <w:widowControl/>
              <w:spacing w:line="240" w:lineRule="auto"/>
              <w:ind w:firstLine="0" w:firstLineChars="0"/>
              <w:jc w:val="center"/>
              <w:rPr>
                <w:rFonts w:ascii="仿宋" w:hAnsi="仿宋"/>
                <w:kern w:val="0"/>
                <w:sz w:val="21"/>
                <w:szCs w:val="21"/>
              </w:rPr>
            </w:pPr>
            <w:r>
              <w:rPr>
                <w:rFonts w:ascii="仿宋" w:hAnsi="仿宋"/>
                <w:kern w:val="0"/>
                <w:sz w:val="21"/>
                <w:szCs w:val="21"/>
              </w:rPr>
              <w:t>站点</w:t>
            </w:r>
          </w:p>
        </w:tc>
      </w:tr>
      <w:tr w14:paraId="7710D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32" w:type="pct"/>
            <w:shd w:val="clear" w:color="auto" w:fill="auto"/>
            <w:noWrap/>
            <w:vAlign w:val="center"/>
          </w:tcPr>
          <w:p w14:paraId="5291896E">
            <w:pPr>
              <w:widowControl/>
              <w:spacing w:line="240" w:lineRule="auto"/>
              <w:ind w:firstLine="0" w:firstLineChars="0"/>
              <w:jc w:val="center"/>
              <w:rPr>
                <w:rFonts w:ascii="仿宋" w:hAnsi="仿宋"/>
                <w:kern w:val="0"/>
                <w:sz w:val="21"/>
                <w:szCs w:val="21"/>
              </w:rPr>
            </w:pPr>
            <w:r>
              <w:rPr>
                <w:rFonts w:ascii="仿宋" w:hAnsi="仿宋"/>
                <w:kern w:val="0"/>
                <w:sz w:val="21"/>
                <w:szCs w:val="21"/>
              </w:rPr>
              <w:t>k01</w:t>
            </w:r>
          </w:p>
        </w:tc>
        <w:tc>
          <w:tcPr>
            <w:tcW w:w="657" w:type="pct"/>
            <w:shd w:val="clear" w:color="auto" w:fill="auto"/>
            <w:noWrap/>
            <w:vAlign w:val="center"/>
          </w:tcPr>
          <w:p w14:paraId="3452139C">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庄河北站-大学城</w:t>
            </w:r>
          </w:p>
        </w:tc>
        <w:tc>
          <w:tcPr>
            <w:tcW w:w="842" w:type="pct"/>
            <w:shd w:val="clear" w:color="auto" w:fill="auto"/>
            <w:noWrap/>
            <w:vAlign w:val="center"/>
          </w:tcPr>
          <w:p w14:paraId="4BC7088F">
            <w:pPr>
              <w:widowControl/>
              <w:spacing w:line="240" w:lineRule="auto"/>
              <w:ind w:firstLine="0" w:firstLineChars="0"/>
              <w:jc w:val="center"/>
              <w:rPr>
                <w:rFonts w:ascii="仿宋" w:hAnsi="仿宋"/>
                <w:kern w:val="0"/>
                <w:sz w:val="21"/>
                <w:szCs w:val="21"/>
              </w:rPr>
            </w:pPr>
            <w:r>
              <w:rPr>
                <w:rFonts w:ascii="仿宋" w:hAnsi="仿宋"/>
                <w:kern w:val="0"/>
                <w:sz w:val="21"/>
                <w:szCs w:val="21"/>
              </w:rPr>
              <w:t>17</w:t>
            </w:r>
          </w:p>
        </w:tc>
        <w:tc>
          <w:tcPr>
            <w:tcW w:w="3067" w:type="pct"/>
            <w:shd w:val="clear" w:color="auto" w:fill="auto"/>
            <w:noWrap/>
            <w:vAlign w:val="center"/>
          </w:tcPr>
          <w:p w14:paraId="2DA03B54">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庄河北站—任屯—迎客市场—华丰大厦—千盛百货—市医院—电视台—西山湖畔—侯屯—六高中—董屯—中心小学—红星乐园—博大数控—速成职业学校—大学城</w:t>
            </w:r>
          </w:p>
        </w:tc>
      </w:tr>
      <w:tr w14:paraId="2105B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432" w:type="pct"/>
            <w:shd w:val="clear" w:color="auto" w:fill="auto"/>
            <w:noWrap/>
            <w:vAlign w:val="center"/>
          </w:tcPr>
          <w:p w14:paraId="5BF3E7A3">
            <w:pPr>
              <w:widowControl/>
              <w:spacing w:line="240" w:lineRule="auto"/>
              <w:ind w:firstLine="0" w:firstLineChars="0"/>
              <w:jc w:val="center"/>
              <w:rPr>
                <w:rFonts w:ascii="仿宋" w:hAnsi="仿宋"/>
                <w:kern w:val="0"/>
                <w:sz w:val="21"/>
                <w:szCs w:val="21"/>
              </w:rPr>
            </w:pPr>
            <w:r>
              <w:rPr>
                <w:rFonts w:ascii="仿宋" w:hAnsi="仿宋"/>
                <w:kern w:val="0"/>
                <w:sz w:val="21"/>
                <w:szCs w:val="21"/>
              </w:rPr>
              <w:t>k02</w:t>
            </w:r>
          </w:p>
        </w:tc>
        <w:tc>
          <w:tcPr>
            <w:tcW w:w="657" w:type="pct"/>
            <w:shd w:val="clear" w:color="auto" w:fill="auto"/>
            <w:noWrap/>
            <w:vAlign w:val="center"/>
          </w:tcPr>
          <w:p w14:paraId="370A39D9">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庄河北站-东大学城</w:t>
            </w:r>
          </w:p>
        </w:tc>
        <w:tc>
          <w:tcPr>
            <w:tcW w:w="842" w:type="pct"/>
            <w:shd w:val="clear" w:color="auto" w:fill="auto"/>
            <w:noWrap/>
            <w:vAlign w:val="center"/>
          </w:tcPr>
          <w:p w14:paraId="1E5A074F">
            <w:pPr>
              <w:widowControl/>
              <w:spacing w:line="240" w:lineRule="auto"/>
              <w:ind w:firstLine="0" w:firstLineChars="0"/>
              <w:jc w:val="center"/>
              <w:rPr>
                <w:rFonts w:ascii="仿宋" w:hAnsi="仿宋"/>
                <w:kern w:val="0"/>
                <w:sz w:val="21"/>
                <w:szCs w:val="21"/>
              </w:rPr>
            </w:pPr>
            <w:r>
              <w:rPr>
                <w:rFonts w:ascii="仿宋" w:hAnsi="仿宋"/>
                <w:kern w:val="0"/>
                <w:sz w:val="21"/>
                <w:szCs w:val="21"/>
              </w:rPr>
              <w:t>17</w:t>
            </w:r>
          </w:p>
        </w:tc>
        <w:tc>
          <w:tcPr>
            <w:tcW w:w="3067" w:type="pct"/>
            <w:shd w:val="clear" w:color="auto" w:fill="auto"/>
            <w:noWrap/>
            <w:vAlign w:val="center"/>
          </w:tcPr>
          <w:p w14:paraId="7ED7347E">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庄河北站—任屯—迎客市场—华丰大厦—千盛百货—昌盛街—</w:t>
            </w:r>
            <w:r>
              <w:rPr>
                <w:rFonts w:hint="eastAsia" w:ascii="仿宋" w:hAnsi="仿宋"/>
                <w:kern w:val="0"/>
                <w:sz w:val="21"/>
                <w:szCs w:val="21"/>
                <w:lang w:eastAsia="zh-CN"/>
              </w:rPr>
              <w:t>疗养中心</w:t>
            </w:r>
            <w:r>
              <w:rPr>
                <w:rFonts w:ascii="仿宋" w:hAnsi="仿宋"/>
                <w:kern w:val="0"/>
                <w:sz w:val="21"/>
                <w:szCs w:val="21"/>
              </w:rPr>
              <w:t>—鑫兴紫韵—巴黎春田北门—建设大街—预设站1—东大学城</w:t>
            </w:r>
          </w:p>
        </w:tc>
      </w:tr>
      <w:tr w14:paraId="00D83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432" w:type="pct"/>
            <w:shd w:val="clear" w:color="auto" w:fill="auto"/>
            <w:noWrap/>
            <w:vAlign w:val="center"/>
          </w:tcPr>
          <w:p w14:paraId="73E24C80">
            <w:pPr>
              <w:widowControl/>
              <w:spacing w:line="240" w:lineRule="auto"/>
              <w:ind w:firstLine="0" w:firstLineChars="0"/>
              <w:jc w:val="center"/>
              <w:rPr>
                <w:rFonts w:ascii="仿宋" w:hAnsi="仿宋"/>
                <w:kern w:val="0"/>
                <w:sz w:val="21"/>
                <w:szCs w:val="21"/>
              </w:rPr>
            </w:pPr>
            <w:r>
              <w:rPr>
                <w:rFonts w:ascii="仿宋" w:hAnsi="仿宋"/>
                <w:kern w:val="0"/>
                <w:sz w:val="21"/>
                <w:szCs w:val="21"/>
              </w:rPr>
              <w:t>k03</w:t>
            </w:r>
          </w:p>
        </w:tc>
        <w:tc>
          <w:tcPr>
            <w:tcW w:w="657" w:type="pct"/>
            <w:shd w:val="clear" w:color="auto" w:fill="auto"/>
            <w:noWrap/>
            <w:vAlign w:val="center"/>
          </w:tcPr>
          <w:p w14:paraId="4B9DC23C">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庄河北站-老客运站</w:t>
            </w:r>
          </w:p>
        </w:tc>
        <w:tc>
          <w:tcPr>
            <w:tcW w:w="842" w:type="pct"/>
            <w:shd w:val="clear" w:color="auto" w:fill="auto"/>
            <w:noWrap/>
            <w:vAlign w:val="center"/>
          </w:tcPr>
          <w:p w14:paraId="7E315BD3">
            <w:pPr>
              <w:widowControl/>
              <w:spacing w:line="240" w:lineRule="auto"/>
              <w:ind w:firstLine="0" w:firstLineChars="0"/>
              <w:jc w:val="center"/>
              <w:rPr>
                <w:rFonts w:ascii="仿宋" w:hAnsi="仿宋"/>
                <w:kern w:val="0"/>
                <w:sz w:val="21"/>
                <w:szCs w:val="21"/>
              </w:rPr>
            </w:pPr>
            <w:r>
              <w:rPr>
                <w:rFonts w:ascii="仿宋" w:hAnsi="仿宋"/>
                <w:kern w:val="0"/>
                <w:sz w:val="21"/>
                <w:szCs w:val="21"/>
              </w:rPr>
              <w:t>6.1</w:t>
            </w:r>
          </w:p>
        </w:tc>
        <w:tc>
          <w:tcPr>
            <w:tcW w:w="3067" w:type="pct"/>
            <w:shd w:val="clear" w:color="auto" w:fill="auto"/>
            <w:noWrap/>
            <w:vAlign w:val="center"/>
          </w:tcPr>
          <w:p w14:paraId="469C9A4C">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庄河北站—后王卧龙—北方家具城—新华工业园—天发市场—老客运站</w:t>
            </w:r>
          </w:p>
        </w:tc>
      </w:tr>
      <w:tr w14:paraId="65939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432" w:type="pct"/>
            <w:shd w:val="clear" w:color="auto" w:fill="auto"/>
            <w:noWrap/>
            <w:vAlign w:val="center"/>
          </w:tcPr>
          <w:p w14:paraId="02D4871B">
            <w:pPr>
              <w:widowControl/>
              <w:spacing w:line="240" w:lineRule="auto"/>
              <w:ind w:firstLine="0" w:firstLineChars="0"/>
              <w:jc w:val="center"/>
              <w:rPr>
                <w:rFonts w:ascii="仿宋" w:hAnsi="仿宋"/>
                <w:kern w:val="0"/>
                <w:sz w:val="21"/>
                <w:szCs w:val="21"/>
              </w:rPr>
            </w:pPr>
            <w:r>
              <w:rPr>
                <w:rFonts w:ascii="仿宋" w:hAnsi="仿宋"/>
                <w:kern w:val="0"/>
                <w:sz w:val="21"/>
                <w:szCs w:val="21"/>
              </w:rPr>
              <w:t>k04</w:t>
            </w:r>
          </w:p>
        </w:tc>
        <w:tc>
          <w:tcPr>
            <w:tcW w:w="657" w:type="pct"/>
            <w:shd w:val="clear" w:color="auto" w:fill="auto"/>
            <w:noWrap/>
            <w:vAlign w:val="center"/>
          </w:tcPr>
          <w:p w14:paraId="2E4FC7BD">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老客运站-庄河港</w:t>
            </w:r>
          </w:p>
        </w:tc>
        <w:tc>
          <w:tcPr>
            <w:tcW w:w="842" w:type="pct"/>
            <w:shd w:val="clear" w:color="auto" w:fill="auto"/>
            <w:noWrap/>
            <w:vAlign w:val="center"/>
          </w:tcPr>
          <w:p w14:paraId="45AE7416">
            <w:pPr>
              <w:widowControl/>
              <w:spacing w:line="240" w:lineRule="auto"/>
              <w:ind w:firstLine="0" w:firstLineChars="0"/>
              <w:jc w:val="center"/>
              <w:rPr>
                <w:rFonts w:ascii="仿宋" w:hAnsi="仿宋"/>
                <w:kern w:val="0"/>
                <w:sz w:val="21"/>
                <w:szCs w:val="21"/>
              </w:rPr>
            </w:pPr>
            <w:r>
              <w:rPr>
                <w:rFonts w:ascii="仿宋" w:hAnsi="仿宋"/>
                <w:kern w:val="0"/>
                <w:sz w:val="21"/>
                <w:szCs w:val="21"/>
              </w:rPr>
              <w:t>11</w:t>
            </w:r>
          </w:p>
        </w:tc>
        <w:tc>
          <w:tcPr>
            <w:tcW w:w="3067" w:type="pct"/>
            <w:shd w:val="clear" w:color="auto" w:fill="auto"/>
            <w:noWrap/>
            <w:vAlign w:val="center"/>
          </w:tcPr>
          <w:p w14:paraId="50A85A0D">
            <w:pPr>
              <w:widowControl/>
              <w:spacing w:line="240" w:lineRule="auto"/>
              <w:ind w:firstLine="0" w:firstLineChars="0"/>
              <w:jc w:val="center"/>
              <w:rPr>
                <w:rFonts w:ascii="仿宋" w:hAnsi="仿宋"/>
                <w:kern w:val="0"/>
                <w:sz w:val="21"/>
                <w:szCs w:val="21"/>
              </w:rPr>
            </w:pPr>
            <w:r>
              <w:rPr>
                <w:rFonts w:ascii="仿宋" w:hAnsi="仿宋"/>
                <w:kern w:val="0"/>
                <w:sz w:val="21"/>
                <w:szCs w:val="21"/>
              </w:rPr>
              <w:t>老客运站—红光市场—新华派出所—中医院—少年宫—三十中—世纪广场—世纪大桥—天外桃源—南一街—南三街—青龙山公园—王屯—滨海路—庄河港</w:t>
            </w:r>
          </w:p>
        </w:tc>
      </w:tr>
      <w:tr w14:paraId="52C1A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32" w:type="pct"/>
            <w:shd w:val="clear" w:color="auto" w:fill="auto"/>
            <w:noWrap/>
            <w:vAlign w:val="center"/>
          </w:tcPr>
          <w:p w14:paraId="69EEE381">
            <w:pPr>
              <w:widowControl/>
              <w:spacing w:line="240" w:lineRule="auto"/>
              <w:ind w:firstLine="0" w:firstLineChars="0"/>
              <w:jc w:val="center"/>
              <w:rPr>
                <w:rFonts w:ascii="仿宋" w:hAnsi="仿宋"/>
                <w:kern w:val="0"/>
                <w:sz w:val="21"/>
                <w:szCs w:val="21"/>
              </w:rPr>
            </w:pPr>
            <w:r>
              <w:rPr>
                <w:rFonts w:ascii="仿宋" w:hAnsi="仿宋"/>
                <w:kern w:val="0"/>
                <w:sz w:val="21"/>
                <w:szCs w:val="21"/>
              </w:rPr>
              <w:t>k05</w:t>
            </w:r>
          </w:p>
        </w:tc>
        <w:tc>
          <w:tcPr>
            <w:tcW w:w="657" w:type="pct"/>
            <w:shd w:val="clear" w:color="auto" w:fill="auto"/>
            <w:noWrap/>
            <w:vAlign w:val="center"/>
          </w:tcPr>
          <w:p w14:paraId="0C9AB3B8">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庄河北站-庄河港</w:t>
            </w:r>
          </w:p>
        </w:tc>
        <w:tc>
          <w:tcPr>
            <w:tcW w:w="842" w:type="pct"/>
            <w:shd w:val="clear" w:color="auto" w:fill="auto"/>
            <w:noWrap/>
            <w:vAlign w:val="center"/>
          </w:tcPr>
          <w:p w14:paraId="25ED43E1">
            <w:pPr>
              <w:widowControl/>
              <w:spacing w:line="240" w:lineRule="auto"/>
              <w:ind w:firstLine="0" w:firstLineChars="0"/>
              <w:jc w:val="center"/>
              <w:rPr>
                <w:rFonts w:ascii="仿宋" w:hAnsi="仿宋"/>
                <w:kern w:val="0"/>
                <w:sz w:val="21"/>
                <w:szCs w:val="21"/>
              </w:rPr>
            </w:pPr>
            <w:r>
              <w:rPr>
                <w:rFonts w:ascii="仿宋" w:hAnsi="仿宋"/>
                <w:kern w:val="0"/>
                <w:sz w:val="21"/>
                <w:szCs w:val="21"/>
              </w:rPr>
              <w:t>16</w:t>
            </w:r>
          </w:p>
        </w:tc>
        <w:tc>
          <w:tcPr>
            <w:tcW w:w="3067" w:type="pct"/>
            <w:shd w:val="clear" w:color="auto" w:fill="auto"/>
            <w:noWrap/>
            <w:vAlign w:val="center"/>
          </w:tcPr>
          <w:p w14:paraId="1A51E4C2">
            <w:pPr>
              <w:widowControl/>
              <w:spacing w:line="240" w:lineRule="auto"/>
              <w:ind w:firstLine="0" w:firstLineChars="0"/>
              <w:jc w:val="center"/>
              <w:rPr>
                <w:rFonts w:ascii="仿宋" w:hAnsi="仿宋"/>
                <w:kern w:val="0"/>
                <w:sz w:val="21"/>
                <w:szCs w:val="21"/>
              </w:rPr>
            </w:pPr>
            <w:r>
              <w:rPr>
                <w:rFonts w:ascii="仿宋" w:hAnsi="仿宋"/>
                <w:kern w:val="0"/>
                <w:sz w:val="21"/>
                <w:szCs w:val="21"/>
              </w:rPr>
              <w:t>庄河北站—任屯—国奥新天居—华丰大厦—千盛百货—市医院—帝璟河畔—小寺站—世纪大桥—天外桃源—南一街—南三街—青龙山公园—王屯—滨海路—庄河港</w:t>
            </w:r>
          </w:p>
        </w:tc>
      </w:tr>
    </w:tbl>
    <w:p w14:paraId="7E893FE0">
      <w:pPr>
        <w:spacing w:line="480" w:lineRule="auto"/>
        <w:ind w:firstLine="0" w:firstLineChars="0"/>
        <w:rPr>
          <w:rFonts w:ascii="Calibri" w:hAnsi="Calibri" w:eastAsia="宋体"/>
          <w:b/>
          <w:bCs/>
          <w:szCs w:val="28"/>
        </w:rPr>
        <w:sectPr>
          <w:pgSz w:w="11906" w:h="16838"/>
          <w:pgMar w:top="1440" w:right="1797" w:bottom="1440" w:left="1797" w:header="851" w:footer="992" w:gutter="0"/>
          <w:cols w:space="425" w:num="1"/>
          <w:docGrid w:linePitch="312" w:charSpace="0"/>
        </w:sectPr>
      </w:pPr>
    </w:p>
    <w:p w14:paraId="6B3E54A7">
      <w:pPr>
        <w:spacing w:line="480" w:lineRule="auto"/>
        <w:ind w:firstLine="0" w:firstLineChars="0"/>
        <w:rPr>
          <w:rFonts w:ascii="Calibri" w:hAnsi="Calibri" w:eastAsia="宋体"/>
          <w:b/>
          <w:bCs/>
          <w:szCs w:val="28"/>
        </w:rPr>
      </w:pPr>
      <w:r>
        <w:rPr>
          <w:rFonts w:ascii="Calibri" w:hAnsi="Calibri" w:eastAsia="宋体"/>
          <w:b/>
          <w:bCs/>
          <w:szCs w:val="28"/>
        </w:rPr>
        <w:drawing>
          <wp:anchor distT="0" distB="0" distL="114300" distR="114300" simplePos="0" relativeHeight="251660288" behindDoc="0" locked="0" layoutInCell="1" allowOverlap="1">
            <wp:simplePos x="0" y="0"/>
            <wp:positionH relativeFrom="column">
              <wp:posOffset>101600</wp:posOffset>
            </wp:positionH>
            <wp:positionV relativeFrom="paragraph">
              <wp:posOffset>-98425</wp:posOffset>
            </wp:positionV>
            <wp:extent cx="8561070" cy="589534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61062" cy="5895190"/>
                    </a:xfrm>
                    <a:prstGeom prst="rect">
                      <a:avLst/>
                    </a:prstGeom>
                  </pic:spPr>
                </pic:pic>
              </a:graphicData>
            </a:graphic>
          </wp:anchor>
        </w:drawing>
      </w:r>
    </w:p>
    <w:p w14:paraId="0FABA80A">
      <w:pPr>
        <w:pStyle w:val="2"/>
        <w:ind w:firstLine="560"/>
      </w:pPr>
    </w:p>
    <w:p w14:paraId="6DD958FA">
      <w:pPr>
        <w:pStyle w:val="2"/>
        <w:ind w:firstLine="560"/>
      </w:pPr>
    </w:p>
    <w:p w14:paraId="54D0EBC6">
      <w:pPr>
        <w:pStyle w:val="2"/>
        <w:ind w:firstLine="560"/>
      </w:pPr>
    </w:p>
    <w:p w14:paraId="767FED1A">
      <w:pPr>
        <w:pStyle w:val="2"/>
        <w:ind w:firstLine="560"/>
      </w:pPr>
    </w:p>
    <w:p w14:paraId="41777AA3">
      <w:pPr>
        <w:pStyle w:val="2"/>
        <w:ind w:firstLine="560"/>
      </w:pPr>
    </w:p>
    <w:p w14:paraId="23D90AAE">
      <w:pPr>
        <w:pStyle w:val="2"/>
        <w:ind w:firstLine="560"/>
      </w:pPr>
    </w:p>
    <w:p w14:paraId="142C39ED">
      <w:pPr>
        <w:pStyle w:val="2"/>
        <w:ind w:firstLine="560"/>
      </w:pPr>
    </w:p>
    <w:p w14:paraId="2B7888B8">
      <w:pPr>
        <w:pStyle w:val="2"/>
        <w:ind w:firstLine="560"/>
      </w:pPr>
    </w:p>
    <w:p w14:paraId="09FE07E5">
      <w:pPr>
        <w:pStyle w:val="2"/>
        <w:ind w:firstLine="560"/>
      </w:pPr>
    </w:p>
    <w:p w14:paraId="12AAE236">
      <w:pPr>
        <w:pStyle w:val="2"/>
        <w:ind w:firstLine="560"/>
      </w:pPr>
    </w:p>
    <w:p w14:paraId="75DFA5BC">
      <w:pPr>
        <w:pStyle w:val="2"/>
        <w:ind w:firstLine="560"/>
      </w:pPr>
    </w:p>
    <w:p w14:paraId="579F64EC">
      <w:pPr>
        <w:pStyle w:val="2"/>
        <w:ind w:firstLine="560"/>
      </w:pPr>
    </w:p>
    <w:p w14:paraId="39B32D99">
      <w:pPr>
        <w:pStyle w:val="2"/>
        <w:ind w:firstLine="560"/>
      </w:pPr>
    </w:p>
    <w:p w14:paraId="71342DE5">
      <w:pPr>
        <w:pStyle w:val="2"/>
        <w:ind w:firstLine="560"/>
      </w:pPr>
    </w:p>
    <w:p w14:paraId="6621942E">
      <w:pPr>
        <w:pStyle w:val="2"/>
        <w:ind w:firstLine="560"/>
      </w:pPr>
    </w:p>
    <w:p w14:paraId="2B54BA76">
      <w:pPr>
        <w:pStyle w:val="2"/>
        <w:ind w:firstLine="0" w:firstLineChars="0"/>
      </w:pPr>
    </w:p>
    <w:p w14:paraId="17FFB2E7">
      <w:pPr>
        <w:ind w:firstLine="0" w:firstLineChars="0"/>
        <w:jc w:val="center"/>
        <w:rPr>
          <w:rFonts w:ascii="宋体" w:hAnsi="宋体" w:eastAsia="宋体"/>
          <w:bCs/>
          <w:sz w:val="21"/>
          <w:szCs w:val="20"/>
        </w:rPr>
      </w:pPr>
    </w:p>
    <w:p w14:paraId="71283933">
      <w:pPr>
        <w:ind w:firstLine="0" w:firstLineChars="0"/>
        <w:jc w:val="center"/>
        <w:rPr>
          <w:rFonts w:ascii="宋体" w:hAnsi="宋体" w:eastAsia="宋体"/>
          <w:bCs/>
          <w:sz w:val="21"/>
          <w:szCs w:val="20"/>
        </w:rPr>
      </w:pPr>
    </w:p>
    <w:p w14:paraId="0B3B0761">
      <w:pPr>
        <w:ind w:firstLine="0" w:firstLineChars="0"/>
        <w:jc w:val="center"/>
        <w:rPr>
          <w:rFonts w:ascii="仿宋" w:hAnsi="仿宋"/>
          <w:bCs/>
          <w:sz w:val="21"/>
          <w:szCs w:val="20"/>
        </w:rPr>
        <w:sectPr>
          <w:pgSz w:w="16838" w:h="11906" w:orient="landscape"/>
          <w:pgMar w:top="1134" w:right="1134" w:bottom="1134" w:left="1134" w:header="851" w:footer="851" w:gutter="0"/>
          <w:cols w:space="425" w:num="1"/>
          <w:docGrid w:linePitch="381" w:charSpace="0"/>
        </w:sectPr>
      </w:pPr>
      <w:r>
        <w:rPr>
          <w:rFonts w:ascii="仿宋" w:hAnsi="仿宋"/>
          <w:bCs/>
          <w:sz w:val="21"/>
          <w:szCs w:val="20"/>
        </w:rPr>
        <w:t>图3 快速公交线路布局图</w:t>
      </w:r>
    </w:p>
    <w:p w14:paraId="7C3BD3C7">
      <w:pPr>
        <w:pStyle w:val="4"/>
        <w:spacing w:before="120" w:beforeLines="50" w:after="0" w:line="360" w:lineRule="auto"/>
        <w:ind w:firstLine="0" w:firstLineChars="0"/>
        <w:rPr>
          <w:rFonts w:ascii="Times New Roman" w:hAnsi="Times New Roman"/>
          <w:b w:val="0"/>
          <w:bCs/>
          <w:sz w:val="28"/>
          <w:szCs w:val="28"/>
        </w:rPr>
      </w:pPr>
      <w:bookmarkStart w:id="20" w:name="_Toc72258216"/>
      <w:r>
        <w:rPr>
          <w:rFonts w:hint="eastAsia" w:ascii="Times New Roman" w:hAnsi="Times New Roman"/>
          <w:b w:val="0"/>
          <w:bCs/>
          <w:sz w:val="28"/>
          <w:szCs w:val="28"/>
        </w:rPr>
        <w:t>（二）调整枢纽布局，提升运输服务品质</w:t>
      </w:r>
      <w:bookmarkEnd w:id="20"/>
    </w:p>
    <w:p w14:paraId="1E3881AA">
      <w:pPr>
        <w:ind w:firstLine="482"/>
        <w:rPr>
          <w:rFonts w:ascii="仿宋" w:hAnsi="仿宋"/>
          <w:b/>
          <w:sz w:val="24"/>
        </w:rPr>
      </w:pPr>
      <w:r>
        <w:rPr>
          <w:rFonts w:ascii="仿宋" w:hAnsi="仿宋"/>
          <w:b/>
          <w:sz w:val="24"/>
        </w:rPr>
        <w:t>1. 客运枢纽布局规划</w:t>
      </w:r>
    </w:p>
    <w:p w14:paraId="78D320B5">
      <w:pPr>
        <w:ind w:firstLine="482"/>
        <w:rPr>
          <w:rFonts w:ascii="仿宋" w:hAnsi="仿宋"/>
          <w:sz w:val="24"/>
        </w:rPr>
      </w:pPr>
      <w:r>
        <w:rPr>
          <w:rFonts w:ascii="仿宋" w:hAnsi="仿宋"/>
          <w:b/>
          <w:sz w:val="24"/>
        </w:rPr>
        <w:t>加强城市公共交通建设，满足城市客运需求增长</w:t>
      </w:r>
      <w:r>
        <w:rPr>
          <w:rFonts w:ascii="仿宋" w:hAnsi="仿宋"/>
          <w:sz w:val="24"/>
        </w:rPr>
        <w:t>。规划在庄河市域建设6个公交枢纽，具体公交枢纽信息如表4所示</w:t>
      </w:r>
      <w:r>
        <w:rPr>
          <w:rFonts w:hint="eastAsia" w:ascii="仿宋" w:hAnsi="仿宋"/>
          <w:sz w:val="24"/>
        </w:rPr>
        <w:t>。</w:t>
      </w:r>
      <w:r>
        <w:rPr>
          <w:rFonts w:ascii="仿宋" w:hAnsi="仿宋"/>
          <w:sz w:val="24"/>
        </w:rPr>
        <w:t xml:space="preserve"> </w:t>
      </w:r>
    </w:p>
    <w:p w14:paraId="569ACAAB">
      <w:pPr>
        <w:ind w:firstLine="0" w:firstLineChars="0"/>
        <w:jc w:val="center"/>
        <w:rPr>
          <w:rFonts w:ascii="仿宋" w:hAnsi="仿宋"/>
          <w:bCs/>
          <w:sz w:val="21"/>
          <w:szCs w:val="20"/>
        </w:rPr>
      </w:pPr>
      <w:r>
        <w:rPr>
          <w:rFonts w:ascii="仿宋" w:hAnsi="仿宋"/>
          <w:bCs/>
          <w:sz w:val="21"/>
          <w:szCs w:val="20"/>
        </w:rPr>
        <w:t>表4 庄河市公交枢纽规划</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167"/>
        <w:gridCol w:w="1022"/>
        <w:gridCol w:w="4083"/>
        <w:gridCol w:w="1095"/>
      </w:tblGrid>
      <w:tr w14:paraId="2493B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0B5DF956">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公交枢纽</w:t>
            </w:r>
          </w:p>
        </w:tc>
        <w:tc>
          <w:tcPr>
            <w:tcW w:w="684" w:type="pct"/>
            <w:vAlign w:val="center"/>
          </w:tcPr>
          <w:p w14:paraId="2F330B58">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位置</w:t>
            </w:r>
          </w:p>
        </w:tc>
        <w:tc>
          <w:tcPr>
            <w:tcW w:w="599" w:type="pct"/>
            <w:vAlign w:val="center"/>
          </w:tcPr>
          <w:p w14:paraId="54470429">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面积</w:t>
            </w:r>
          </w:p>
        </w:tc>
        <w:tc>
          <w:tcPr>
            <w:tcW w:w="2394" w:type="pct"/>
            <w:vAlign w:val="center"/>
          </w:tcPr>
          <w:p w14:paraId="437786E4">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服务线路</w:t>
            </w:r>
          </w:p>
        </w:tc>
        <w:tc>
          <w:tcPr>
            <w:tcW w:w="642" w:type="pct"/>
            <w:vAlign w:val="center"/>
          </w:tcPr>
          <w:p w14:paraId="5B7EA52E">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规划性质</w:t>
            </w:r>
          </w:p>
        </w:tc>
      </w:tr>
      <w:tr w14:paraId="65F20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51499FD1">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北站枢纽</w:t>
            </w:r>
          </w:p>
        </w:tc>
        <w:tc>
          <w:tcPr>
            <w:tcW w:w="684" w:type="pct"/>
            <w:vAlign w:val="center"/>
          </w:tcPr>
          <w:p w14:paraId="1084EC72">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庄河北站</w:t>
            </w:r>
          </w:p>
        </w:tc>
        <w:tc>
          <w:tcPr>
            <w:tcW w:w="599" w:type="pct"/>
            <w:vAlign w:val="center"/>
          </w:tcPr>
          <w:p w14:paraId="566F8AE2">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2200㎡</w:t>
            </w:r>
          </w:p>
        </w:tc>
        <w:tc>
          <w:tcPr>
            <w:tcW w:w="2394" w:type="pct"/>
            <w:vAlign w:val="center"/>
          </w:tcPr>
          <w:p w14:paraId="102FE628">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113路、102路支线、k01路、k02路、k03路、k05路</w:t>
            </w:r>
          </w:p>
        </w:tc>
        <w:tc>
          <w:tcPr>
            <w:tcW w:w="642" w:type="pct"/>
            <w:vAlign w:val="center"/>
          </w:tcPr>
          <w:p w14:paraId="189D4F25">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改建</w:t>
            </w:r>
          </w:p>
        </w:tc>
      </w:tr>
      <w:tr w14:paraId="72F57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109AD65C">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老客运站枢纽</w:t>
            </w:r>
          </w:p>
        </w:tc>
        <w:tc>
          <w:tcPr>
            <w:tcW w:w="684" w:type="pct"/>
            <w:vAlign w:val="center"/>
          </w:tcPr>
          <w:p w14:paraId="1F1E549A">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庄河市汽车站</w:t>
            </w:r>
          </w:p>
        </w:tc>
        <w:tc>
          <w:tcPr>
            <w:tcW w:w="599" w:type="pct"/>
            <w:vAlign w:val="center"/>
          </w:tcPr>
          <w:p w14:paraId="69A04EDE">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800㎡</w:t>
            </w:r>
          </w:p>
        </w:tc>
        <w:tc>
          <w:tcPr>
            <w:tcW w:w="2394" w:type="pct"/>
            <w:vAlign w:val="center"/>
          </w:tcPr>
          <w:p w14:paraId="45FE79F5">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104路、115路、106路、116路、117路、101路、102路支线、108路、112路、201路、k03路、k04路</w:t>
            </w:r>
          </w:p>
        </w:tc>
        <w:tc>
          <w:tcPr>
            <w:tcW w:w="642" w:type="pct"/>
            <w:vAlign w:val="center"/>
          </w:tcPr>
          <w:p w14:paraId="4E9987A4">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改建</w:t>
            </w:r>
          </w:p>
        </w:tc>
      </w:tr>
      <w:tr w14:paraId="40EED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4EF108D8">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万达广场枢纽</w:t>
            </w:r>
          </w:p>
        </w:tc>
        <w:tc>
          <w:tcPr>
            <w:tcW w:w="684" w:type="pct"/>
            <w:vAlign w:val="center"/>
          </w:tcPr>
          <w:p w14:paraId="0FED1DC3">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万达广场</w:t>
            </w:r>
          </w:p>
        </w:tc>
        <w:tc>
          <w:tcPr>
            <w:tcW w:w="599" w:type="pct"/>
            <w:vAlign w:val="center"/>
          </w:tcPr>
          <w:p w14:paraId="169B8CC5">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800㎡</w:t>
            </w:r>
          </w:p>
        </w:tc>
        <w:tc>
          <w:tcPr>
            <w:tcW w:w="2394" w:type="pct"/>
            <w:vAlign w:val="center"/>
          </w:tcPr>
          <w:p w14:paraId="68742D9E">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104路、106路、116路、114路、111路、201路</w:t>
            </w:r>
          </w:p>
        </w:tc>
        <w:tc>
          <w:tcPr>
            <w:tcW w:w="642" w:type="pct"/>
            <w:vAlign w:val="center"/>
          </w:tcPr>
          <w:p w14:paraId="4C06EE40">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新建</w:t>
            </w:r>
          </w:p>
        </w:tc>
      </w:tr>
      <w:tr w14:paraId="6DA6B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26B9FF53">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延安路枢纽</w:t>
            </w:r>
          </w:p>
        </w:tc>
        <w:tc>
          <w:tcPr>
            <w:tcW w:w="684" w:type="pct"/>
            <w:vAlign w:val="center"/>
          </w:tcPr>
          <w:p w14:paraId="4884DAB5">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延安路/黄海大街</w:t>
            </w:r>
          </w:p>
        </w:tc>
        <w:tc>
          <w:tcPr>
            <w:tcW w:w="599" w:type="pct"/>
            <w:vAlign w:val="center"/>
          </w:tcPr>
          <w:p w14:paraId="2BC73D81">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800㎡</w:t>
            </w:r>
          </w:p>
        </w:tc>
        <w:tc>
          <w:tcPr>
            <w:tcW w:w="2394" w:type="pct"/>
            <w:vAlign w:val="center"/>
          </w:tcPr>
          <w:p w14:paraId="158F38FC">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101路、102路、103路、106路、108路、109路、113路、115路、116路、201路、k01路、k02路、k05路</w:t>
            </w:r>
          </w:p>
        </w:tc>
        <w:tc>
          <w:tcPr>
            <w:tcW w:w="642" w:type="pct"/>
            <w:vAlign w:val="center"/>
          </w:tcPr>
          <w:p w14:paraId="3289DB16">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新建</w:t>
            </w:r>
          </w:p>
        </w:tc>
      </w:tr>
      <w:tr w14:paraId="1DCE2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2FA21EFC">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北黄海经济区枢纽</w:t>
            </w:r>
          </w:p>
        </w:tc>
        <w:tc>
          <w:tcPr>
            <w:tcW w:w="684" w:type="pct"/>
            <w:vAlign w:val="center"/>
          </w:tcPr>
          <w:p w14:paraId="798B6782">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大郑新城</w:t>
            </w:r>
          </w:p>
        </w:tc>
        <w:tc>
          <w:tcPr>
            <w:tcW w:w="599" w:type="pct"/>
            <w:vAlign w:val="center"/>
          </w:tcPr>
          <w:p w14:paraId="740EEEBE">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16595.7㎡</w:t>
            </w:r>
          </w:p>
        </w:tc>
        <w:tc>
          <w:tcPr>
            <w:tcW w:w="2394" w:type="pct"/>
            <w:vAlign w:val="center"/>
          </w:tcPr>
          <w:p w14:paraId="7BE9ED6D">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202路，107路，112路，111路</w:t>
            </w:r>
          </w:p>
        </w:tc>
        <w:tc>
          <w:tcPr>
            <w:tcW w:w="642" w:type="pct"/>
            <w:vAlign w:val="center"/>
          </w:tcPr>
          <w:p w14:paraId="584658EB">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新建</w:t>
            </w:r>
          </w:p>
        </w:tc>
      </w:tr>
      <w:tr w14:paraId="6C9EE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0893FCA2">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昌盛街道枢纽</w:t>
            </w:r>
          </w:p>
        </w:tc>
        <w:tc>
          <w:tcPr>
            <w:tcW w:w="684" w:type="pct"/>
            <w:vAlign w:val="center"/>
          </w:tcPr>
          <w:p w14:paraId="304F7C4A">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昌盛街道</w:t>
            </w:r>
          </w:p>
        </w:tc>
        <w:tc>
          <w:tcPr>
            <w:tcW w:w="599" w:type="pct"/>
            <w:vAlign w:val="center"/>
          </w:tcPr>
          <w:p w14:paraId="745FE784">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23969.8㎡</w:t>
            </w:r>
          </w:p>
        </w:tc>
        <w:tc>
          <w:tcPr>
            <w:tcW w:w="2394" w:type="pct"/>
            <w:vAlign w:val="center"/>
          </w:tcPr>
          <w:p w14:paraId="1E419B7B">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112路，103路，104路，106路，116路，113路，114路，102路，11路，201路</w:t>
            </w:r>
          </w:p>
        </w:tc>
        <w:tc>
          <w:tcPr>
            <w:tcW w:w="642" w:type="pct"/>
            <w:vAlign w:val="center"/>
          </w:tcPr>
          <w:p w14:paraId="55F68025">
            <w:pPr>
              <w:widowControl/>
              <w:spacing w:beforeAutospacing="1" w:afterAutospacing="1" w:line="240" w:lineRule="auto"/>
              <w:ind w:firstLine="0" w:firstLineChars="0"/>
              <w:jc w:val="center"/>
              <w:rPr>
                <w:rFonts w:ascii="仿宋" w:hAnsi="仿宋"/>
                <w:kern w:val="0"/>
                <w:sz w:val="21"/>
                <w:szCs w:val="21"/>
              </w:rPr>
            </w:pPr>
            <w:r>
              <w:rPr>
                <w:rFonts w:ascii="仿宋" w:hAnsi="仿宋"/>
                <w:kern w:val="0"/>
                <w:sz w:val="21"/>
                <w:szCs w:val="21"/>
              </w:rPr>
              <w:t>新建</w:t>
            </w:r>
          </w:p>
        </w:tc>
      </w:tr>
    </w:tbl>
    <w:p w14:paraId="50CF2207">
      <w:pPr>
        <w:ind w:firstLine="482"/>
        <w:rPr>
          <w:rFonts w:ascii="仿宋" w:hAnsi="仿宋"/>
          <w:sz w:val="24"/>
        </w:rPr>
      </w:pPr>
      <w:r>
        <w:rPr>
          <w:rFonts w:hint="eastAsia" w:ascii="仿宋" w:hAnsi="仿宋"/>
          <w:b/>
          <w:sz w:val="24"/>
        </w:rPr>
        <w:t>加强对城市公交站点位置、间距、类型及规模完善及优化</w:t>
      </w:r>
      <w:r>
        <w:rPr>
          <w:rFonts w:hint="eastAsia" w:ascii="仿宋" w:hAnsi="仿宋"/>
          <w:sz w:val="24"/>
        </w:rPr>
        <w:t>。</w:t>
      </w:r>
      <w:r>
        <w:rPr>
          <w:rFonts w:ascii="仿宋" w:hAnsi="仿宋"/>
          <w:sz w:val="24"/>
        </w:rPr>
        <w:t>（1）未设非机动车道隔离带的道路，设立港湾式车站，如图4所示；（2）设有双侧绿化隔离的城市道路，在靠近十字路口的绿化隔离带上设置公交站点，如图5所示；</w:t>
      </w:r>
    </w:p>
    <w:p w14:paraId="355951D7">
      <w:pPr>
        <w:spacing w:line="300" w:lineRule="auto"/>
        <w:ind w:firstLine="480" w:firstLineChars="0"/>
        <w:jc w:val="center"/>
        <w:rPr>
          <w:rFonts w:ascii="Calibri" w:hAnsi="Calibri" w:eastAsia="宋体"/>
          <w:sz w:val="24"/>
        </w:rPr>
      </w:pPr>
      <w:r>
        <w:rPr>
          <w:rFonts w:ascii="Calibri" w:hAnsi="Calibri" w:eastAsia="宋体"/>
          <w:sz w:val="24"/>
        </w:rPr>
        <w:drawing>
          <wp:inline distT="0" distB="0" distL="0" distR="0">
            <wp:extent cx="4493895" cy="853440"/>
            <wp:effectExtent l="0" t="0" r="1905"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493895" cy="853440"/>
                    </a:xfrm>
                    <a:prstGeom prst="rect">
                      <a:avLst/>
                    </a:prstGeom>
                    <a:noFill/>
                    <a:ln>
                      <a:noFill/>
                    </a:ln>
                  </pic:spPr>
                </pic:pic>
              </a:graphicData>
            </a:graphic>
          </wp:inline>
        </w:drawing>
      </w:r>
    </w:p>
    <w:p w14:paraId="3EA58324">
      <w:pPr>
        <w:ind w:firstLine="0" w:firstLineChars="0"/>
        <w:jc w:val="center"/>
        <w:rPr>
          <w:rFonts w:ascii="仿宋" w:hAnsi="仿宋"/>
          <w:bCs/>
          <w:sz w:val="24"/>
        </w:rPr>
      </w:pPr>
      <w:r>
        <w:rPr>
          <w:rFonts w:ascii="仿宋" w:hAnsi="仿宋"/>
          <w:bCs/>
          <w:sz w:val="21"/>
          <w:szCs w:val="20"/>
        </w:rPr>
        <w:t>图4 港湾式公交站点示意图</w:t>
      </w:r>
    </w:p>
    <w:p w14:paraId="6EA4D457">
      <w:pPr>
        <w:spacing w:line="300" w:lineRule="auto"/>
        <w:ind w:firstLine="480" w:firstLineChars="0"/>
        <w:jc w:val="center"/>
        <w:rPr>
          <w:rFonts w:ascii="Calibri" w:hAnsi="Calibri" w:eastAsia="宋体"/>
          <w:sz w:val="24"/>
        </w:rPr>
      </w:pPr>
      <w:r>
        <w:rPr>
          <w:rFonts w:hint="eastAsia" w:ascii="Calibri" w:hAnsi="Calibri" w:eastAsia="宋体"/>
          <w:sz w:val="24"/>
        </w:rPr>
        <w:drawing>
          <wp:inline distT="0" distB="0" distL="0" distR="0">
            <wp:extent cx="4020185" cy="2087245"/>
            <wp:effectExtent l="0" t="0" r="0" b="825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7">
                      <a:extLst>
                        <a:ext uri="{28A0092B-C50C-407E-A947-70E740481C1C}">
                          <a14:useLocalDpi xmlns:a14="http://schemas.microsoft.com/office/drawing/2010/main" val="0"/>
                        </a:ext>
                      </a:extLst>
                    </a:blip>
                    <a:srcRect r="23904"/>
                    <a:stretch>
                      <a:fillRect/>
                    </a:stretch>
                  </pic:blipFill>
                  <pic:spPr>
                    <a:xfrm>
                      <a:off x="0" y="0"/>
                      <a:ext cx="4026148" cy="2090513"/>
                    </a:xfrm>
                    <a:prstGeom prst="rect">
                      <a:avLst/>
                    </a:prstGeom>
                    <a:noFill/>
                    <a:ln>
                      <a:noFill/>
                    </a:ln>
                  </pic:spPr>
                </pic:pic>
              </a:graphicData>
            </a:graphic>
          </wp:inline>
        </w:drawing>
      </w:r>
    </w:p>
    <w:p w14:paraId="44730CC2">
      <w:pPr>
        <w:ind w:firstLine="0" w:firstLineChars="0"/>
        <w:jc w:val="center"/>
        <w:rPr>
          <w:rFonts w:ascii="仿宋" w:hAnsi="仿宋"/>
          <w:bCs/>
          <w:sz w:val="21"/>
          <w:szCs w:val="20"/>
        </w:rPr>
      </w:pPr>
      <w:r>
        <w:rPr>
          <w:rFonts w:hint="eastAsia" w:ascii="仿宋" w:hAnsi="仿宋"/>
          <w:bCs/>
          <w:sz w:val="21"/>
          <w:szCs w:val="20"/>
        </w:rPr>
        <w:t>图</w:t>
      </w:r>
      <w:r>
        <w:rPr>
          <w:rFonts w:ascii="仿宋" w:hAnsi="仿宋"/>
          <w:bCs/>
          <w:sz w:val="21"/>
          <w:szCs w:val="20"/>
        </w:rPr>
        <w:t xml:space="preserve">5 </w:t>
      </w:r>
      <w:r>
        <w:rPr>
          <w:rFonts w:hint="eastAsia" w:ascii="仿宋" w:hAnsi="仿宋"/>
          <w:bCs/>
          <w:sz w:val="21"/>
          <w:szCs w:val="20"/>
        </w:rPr>
        <w:t>两侧绿化带公交站点示意图</w:t>
      </w:r>
    </w:p>
    <w:p w14:paraId="0CBD51C3">
      <w:pPr>
        <w:ind w:firstLine="482"/>
        <w:rPr>
          <w:rFonts w:ascii="仿宋" w:hAnsi="仿宋"/>
          <w:sz w:val="24"/>
        </w:rPr>
      </w:pPr>
      <w:r>
        <w:rPr>
          <w:rFonts w:ascii="仿宋" w:hAnsi="仿宋"/>
          <w:b/>
          <w:sz w:val="24"/>
        </w:rPr>
        <w:t>加强对水路客运枢纽布局规划，促进王家镇双狮岛与庄河大陆区域范围客运换乘衔接</w:t>
      </w:r>
      <w:r>
        <w:rPr>
          <w:rFonts w:ascii="仿宋" w:hAnsi="仿宋"/>
          <w:sz w:val="24"/>
        </w:rPr>
        <w:t>。本次规划在2021</w:t>
      </w:r>
      <w:r>
        <w:rPr>
          <w:rFonts w:hint="eastAsia" w:ascii="仿宋" w:hAnsi="仿宋"/>
          <w:sz w:val="24"/>
          <w:lang w:eastAsia="zh-CN"/>
        </w:rPr>
        <w:t>—2022年</w:t>
      </w:r>
      <w:r>
        <w:rPr>
          <w:rFonts w:ascii="仿宋" w:hAnsi="仿宋"/>
          <w:sz w:val="24"/>
        </w:rPr>
        <w:t>，对庄河市王家镇双狮岛建设王家镇双狮岛趸船码头。为避免发生陆岛间小船载人造成水上安全事故，解决双狮岛人员出行、生活用品需求等问题，急</w:t>
      </w:r>
      <w:r>
        <w:rPr>
          <w:rFonts w:hint="eastAsia" w:ascii="仿宋" w:hAnsi="仿宋"/>
          <w:sz w:val="24"/>
          <w:lang w:eastAsia="zh-CN"/>
        </w:rPr>
        <w:t>需</w:t>
      </w:r>
      <w:r>
        <w:rPr>
          <w:rFonts w:ascii="仿宋" w:hAnsi="仿宋"/>
          <w:sz w:val="24"/>
        </w:rPr>
        <w:t>在双狮岛建设码头，结合当地自然条件，设立趸船（浮码头）码头，趸船采用定位靠船桩和抛锚相结合的系留方式。</w:t>
      </w:r>
    </w:p>
    <w:p w14:paraId="675F5B7C">
      <w:pPr>
        <w:ind w:firstLine="482"/>
        <w:rPr>
          <w:rFonts w:ascii="仿宋" w:hAnsi="仿宋"/>
          <w:b/>
          <w:sz w:val="24"/>
        </w:rPr>
      </w:pPr>
      <w:r>
        <w:rPr>
          <w:rFonts w:ascii="仿宋" w:hAnsi="仿宋"/>
          <w:b/>
          <w:sz w:val="24"/>
        </w:rPr>
        <w:t xml:space="preserve">2. </w:t>
      </w:r>
      <w:r>
        <w:rPr>
          <w:rFonts w:hint="eastAsia" w:ascii="仿宋" w:hAnsi="仿宋"/>
          <w:b/>
          <w:sz w:val="24"/>
        </w:rPr>
        <w:t>货运枢纽布局规划</w:t>
      </w:r>
    </w:p>
    <w:p w14:paraId="5045A140">
      <w:pPr>
        <w:ind w:firstLine="482"/>
        <w:rPr>
          <w:rFonts w:ascii="仿宋" w:hAnsi="仿宋"/>
          <w:sz w:val="24"/>
        </w:rPr>
      </w:pPr>
      <w:r>
        <w:rPr>
          <w:rFonts w:ascii="仿宋" w:hAnsi="仿宋"/>
          <w:b/>
          <w:sz w:val="24"/>
        </w:rPr>
        <w:t>加强庄河港泊位以及配套基础设施建设，构建庄河市货运水路枢纽体系</w:t>
      </w:r>
      <w:r>
        <w:rPr>
          <w:rFonts w:ascii="仿宋" w:hAnsi="仿宋"/>
          <w:sz w:val="24"/>
        </w:rPr>
        <w:t>。加大推进庄河港重装设备泊位建设，完成庄河港与木材专用泊位的木材熏蒸设施建设，完成庄河港航道和防波堤建设。此次主要对庄河港区的将军石作业区</w:t>
      </w:r>
      <w:r>
        <w:rPr>
          <w:rFonts w:hint="eastAsia" w:ascii="仿宋" w:hAnsi="仿宋"/>
          <w:sz w:val="24"/>
          <w:lang w:eastAsia="zh-CN"/>
        </w:rPr>
        <w:t>以及</w:t>
      </w:r>
      <w:r>
        <w:rPr>
          <w:rFonts w:ascii="仿宋" w:hAnsi="仿宋"/>
          <w:sz w:val="24"/>
        </w:rPr>
        <w:t>黑岛港作业区两个生产作业区进行规划。区域布局如图6所示，具体布置如图7所示。</w:t>
      </w:r>
    </w:p>
    <w:p w14:paraId="1A480219">
      <w:pPr>
        <w:spacing w:line="240" w:lineRule="auto"/>
        <w:ind w:firstLine="0" w:firstLineChars="0"/>
        <w:jc w:val="center"/>
        <w:rPr>
          <w:rFonts w:ascii="Calibri" w:hAnsi="Calibri" w:eastAsia="宋体"/>
          <w:sz w:val="21"/>
        </w:rPr>
      </w:pPr>
      <w:r>
        <w:rPr>
          <w:rFonts w:ascii="Calibri" w:hAnsi="Calibri" w:eastAsia="宋体"/>
          <w:sz w:val="21"/>
        </w:rPr>
        <w:drawing>
          <wp:inline distT="0" distB="0" distL="0" distR="0">
            <wp:extent cx="4588510" cy="3266440"/>
            <wp:effectExtent l="0" t="0" r="2540" b="1016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18" cstate="print">
                      <a:extLst>
                        <a:ext uri="{28A0092B-C50C-407E-A947-70E740481C1C}">
                          <a14:useLocalDpi xmlns:a14="http://schemas.microsoft.com/office/drawing/2010/main" val="0"/>
                        </a:ext>
                      </a:extLst>
                    </a:blip>
                    <a:srcRect l="4513" t="8757" r="10927" b="7824"/>
                    <a:stretch>
                      <a:fillRect/>
                    </a:stretch>
                  </pic:blipFill>
                  <pic:spPr>
                    <a:xfrm>
                      <a:off x="0" y="0"/>
                      <a:ext cx="4588510" cy="3266440"/>
                    </a:xfrm>
                    <a:prstGeom prst="rect">
                      <a:avLst/>
                    </a:prstGeom>
                    <a:noFill/>
                    <a:ln>
                      <a:noFill/>
                    </a:ln>
                  </pic:spPr>
                </pic:pic>
              </a:graphicData>
            </a:graphic>
          </wp:inline>
        </w:drawing>
      </w:r>
    </w:p>
    <w:p w14:paraId="5785377F">
      <w:pPr>
        <w:ind w:firstLine="0" w:firstLineChars="0"/>
        <w:jc w:val="center"/>
        <w:rPr>
          <w:rFonts w:ascii="仿宋" w:hAnsi="仿宋"/>
          <w:bCs/>
          <w:sz w:val="21"/>
          <w:szCs w:val="20"/>
        </w:rPr>
      </w:pPr>
      <w:r>
        <w:rPr>
          <w:rFonts w:ascii="仿宋" w:hAnsi="仿宋"/>
          <w:bCs/>
          <w:sz w:val="21"/>
          <w:szCs w:val="20"/>
        </w:rPr>
        <w:t xml:space="preserve">图6 </w:t>
      </w:r>
      <w:r>
        <w:rPr>
          <w:rFonts w:hint="eastAsia" w:ascii="仿宋" w:hAnsi="仿宋"/>
          <w:bCs/>
          <w:sz w:val="21"/>
          <w:szCs w:val="20"/>
        </w:rPr>
        <w:t>庄河市</w:t>
      </w:r>
      <w:r>
        <w:rPr>
          <w:rFonts w:ascii="仿宋" w:hAnsi="仿宋"/>
          <w:bCs/>
          <w:sz w:val="21"/>
          <w:szCs w:val="20"/>
        </w:rPr>
        <w:t>沿海港口带布局图</w:t>
      </w:r>
    </w:p>
    <w:p w14:paraId="2CAEE8BE">
      <w:pPr>
        <w:spacing w:line="240" w:lineRule="auto"/>
        <w:ind w:firstLine="0" w:firstLineChars="0"/>
        <w:jc w:val="center"/>
        <w:rPr>
          <w:rFonts w:ascii="Calibri" w:hAnsi="Calibri" w:eastAsia="宋体"/>
          <w:sz w:val="24"/>
          <w:szCs w:val="22"/>
        </w:rPr>
      </w:pPr>
      <w:r>
        <w:rPr>
          <w:rFonts w:ascii="Calibri" w:hAnsi="Calibri" w:eastAsia="宋体"/>
          <w:sz w:val="21"/>
        </w:rPr>
        <w:drawing>
          <wp:inline distT="0" distB="0" distL="0" distR="0">
            <wp:extent cx="4558665" cy="3237865"/>
            <wp:effectExtent l="0" t="0" r="13335"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9" cstate="print">
                      <a:extLst>
                        <a:ext uri="{28A0092B-C50C-407E-A947-70E740481C1C}">
                          <a14:useLocalDpi xmlns:a14="http://schemas.microsoft.com/office/drawing/2010/main" val="0"/>
                        </a:ext>
                      </a:extLst>
                    </a:blip>
                    <a:srcRect l="5717" t="8345" r="10228" b="7469"/>
                    <a:stretch>
                      <a:fillRect/>
                    </a:stretch>
                  </pic:blipFill>
                  <pic:spPr>
                    <a:xfrm>
                      <a:off x="0" y="0"/>
                      <a:ext cx="4558665" cy="3237865"/>
                    </a:xfrm>
                    <a:prstGeom prst="rect">
                      <a:avLst/>
                    </a:prstGeom>
                    <a:noFill/>
                    <a:ln>
                      <a:noFill/>
                    </a:ln>
                  </pic:spPr>
                </pic:pic>
              </a:graphicData>
            </a:graphic>
          </wp:inline>
        </w:drawing>
      </w:r>
    </w:p>
    <w:p w14:paraId="4D238030">
      <w:pPr>
        <w:ind w:firstLine="0" w:firstLineChars="0"/>
        <w:jc w:val="center"/>
        <w:rPr>
          <w:rFonts w:ascii="宋体" w:hAnsi="宋体" w:eastAsia="宋体"/>
          <w:bCs/>
          <w:sz w:val="21"/>
          <w:szCs w:val="20"/>
        </w:rPr>
      </w:pPr>
      <w:r>
        <w:rPr>
          <w:rFonts w:ascii="宋体" w:hAnsi="宋体" w:eastAsia="宋体"/>
          <w:bCs/>
          <w:sz w:val="21"/>
          <w:szCs w:val="20"/>
        </w:rPr>
        <w:t>图7 庄河市货运布局规划图</w:t>
      </w:r>
    </w:p>
    <w:p w14:paraId="65F98FFF">
      <w:pPr>
        <w:ind w:firstLine="482"/>
        <w:rPr>
          <w:rFonts w:ascii="仿宋" w:hAnsi="仿宋"/>
          <w:b/>
          <w:sz w:val="24"/>
        </w:rPr>
      </w:pPr>
      <w:r>
        <w:rPr>
          <w:rFonts w:hint="eastAsia" w:ascii="仿宋" w:hAnsi="仿宋"/>
          <w:b/>
          <w:sz w:val="24"/>
        </w:rPr>
        <w:t>（1）</w:t>
      </w:r>
      <w:r>
        <w:rPr>
          <w:rFonts w:ascii="仿宋" w:hAnsi="仿宋"/>
          <w:b/>
          <w:sz w:val="24"/>
        </w:rPr>
        <w:t>将军石作业区</w:t>
      </w:r>
    </w:p>
    <w:p w14:paraId="12E361BC">
      <w:pPr>
        <w:ind w:firstLine="480"/>
        <w:rPr>
          <w:rFonts w:ascii="仿宋" w:hAnsi="仿宋"/>
          <w:sz w:val="24"/>
        </w:rPr>
      </w:pPr>
      <w:r>
        <w:rPr>
          <w:rFonts w:ascii="仿宋" w:hAnsi="仿宋"/>
          <w:sz w:val="24"/>
        </w:rPr>
        <w:t>将军石作业区，依托打拉腰处已建防波堤向海侧和西侧拓展港口发展空间，采用港池和突堤相结合的环抱式布置形式，主要布置滚装码头区、杂货码头区、通用码头区、支持系统区、客运服务区、港口物流区和临港工业区等功能区，可形成码头岸线约4.3 km，建设各类生产性泊位25个，形成通过能力约2500万吨，陆域面积7.2 km2，总面积约52.94公顷。作业区西侧规划为预留发展区，作为港口未来发展空间。功能为（保税）仓储，分拣，配送，积极为两侧的经济发展区域和庄河提供港口物流服务。服务类型包括</w:t>
      </w:r>
      <w:r>
        <w:rPr>
          <w:rFonts w:hint="eastAsia" w:ascii="仿宋" w:hAnsi="仿宋"/>
          <w:sz w:val="24"/>
          <w:lang w:eastAsia="zh-CN"/>
        </w:rPr>
        <w:t>可再生能源</w:t>
      </w:r>
      <w:r>
        <w:rPr>
          <w:rFonts w:ascii="仿宋" w:hAnsi="仿宋"/>
          <w:sz w:val="24"/>
        </w:rPr>
        <w:t>产品、机械设备制造产品、冷藏农产品、冷藏水产品、家具出口提供集装箱运输服务；为煤炭、金属矿石、粮食提供散货运输服务。本次规划采用港池和突堤相结合的布置形式，形成东、西两港池的发展格局。自打拉腰已建防波堤向外海西南向建设防波堤，与打拉腰西侧2km处向南建设的防波堤形成环抱式港池，口门布置在5m等深线附近，有效宽度300m。</w:t>
      </w:r>
    </w:p>
    <w:p w14:paraId="382928C3">
      <w:pPr>
        <w:ind w:firstLine="480"/>
        <w:rPr>
          <w:rFonts w:ascii="仿宋" w:hAnsi="仿宋"/>
          <w:sz w:val="24"/>
        </w:rPr>
      </w:pPr>
      <w:r>
        <w:rPr>
          <w:rFonts w:ascii="仿宋" w:hAnsi="仿宋"/>
          <w:sz w:val="24"/>
        </w:rPr>
        <w:t>近期发展区：规划东港池作为将军石作业区近期发展区，主要为地方经济和临港产业发展提供公共运输服务。码头功能区包括滚装码头区、杂货码头区和通用码头区，其它功能区包括支持系统区、客运服务区、综合配套服务区、港口物流区和临港工业区等。</w:t>
      </w:r>
    </w:p>
    <w:p w14:paraId="1E0D94E9">
      <w:pPr>
        <w:ind w:firstLine="480"/>
        <w:rPr>
          <w:rFonts w:ascii="仿宋" w:hAnsi="仿宋"/>
          <w:sz w:val="24"/>
        </w:rPr>
      </w:pPr>
      <w:r>
        <w:rPr>
          <w:rFonts w:ascii="仿宋" w:hAnsi="仿宋"/>
          <w:sz w:val="24"/>
        </w:rPr>
        <w:t>杂货码头区（一）：位于东港池东侧，主要满足陆岛运输及城市生产、生活物资运输。规划在已建5000吨级和10000吨级杂货泊位南侧新形成码头岸线671m，可顺岸布置</w:t>
      </w:r>
      <w:r>
        <w:rPr>
          <w:rFonts w:hint="eastAsia" w:ascii="仿宋" w:hAnsi="仿宋"/>
          <w:sz w:val="24"/>
          <w:lang w:eastAsia="zh-CN"/>
        </w:rPr>
        <w:t>2万~4万</w:t>
      </w:r>
      <w:r>
        <w:rPr>
          <w:rFonts w:ascii="仿宋" w:hAnsi="仿宋"/>
          <w:sz w:val="24"/>
        </w:rPr>
        <w:t>吨级杂货泊位3个，陆域平均纵深200 m，总面积约22万m2，作为堆场、仓库和相关配套设施用地。</w:t>
      </w:r>
    </w:p>
    <w:p w14:paraId="0A1680D8">
      <w:pPr>
        <w:ind w:firstLine="480"/>
        <w:rPr>
          <w:rFonts w:ascii="仿宋" w:hAnsi="仿宋"/>
          <w:sz w:val="24"/>
        </w:rPr>
      </w:pPr>
      <w:r>
        <w:rPr>
          <w:rFonts w:ascii="仿宋" w:hAnsi="仿宋"/>
          <w:sz w:val="24"/>
        </w:rPr>
        <w:t>滚装码头区：位于东港池北侧和东侧，码头岸线719m，主要满足石城乡、王家镇各岛屿地区居民出行、日常生活物资和岛屿游客、车辆运输需求，同时承担对日、韩的近洋滚装运输。东港池东侧考虑已建的陆岛码头设施，规划现有杂货码头北侧形成小挖入式港池，采用顺岸和短栈桥相结合的方式布置1000GT陆岛泊位，具体平面方案可结合项目进一步研究确定。东港池北侧195m岸线可规划布置2万GT近洋滚装泊位1个。滚装码头区陆域总面积约25万m2，主要布置车辆调度场、停车场、堆场、候船客运楼和</w:t>
      </w:r>
      <w:r>
        <w:rPr>
          <w:rFonts w:hint="eastAsia" w:ascii="仿宋" w:hAnsi="仿宋"/>
          <w:sz w:val="24"/>
          <w:lang w:eastAsia="zh-CN"/>
        </w:rPr>
        <w:t>其他</w:t>
      </w:r>
      <w:r>
        <w:rPr>
          <w:rFonts w:ascii="仿宋" w:hAnsi="仿宋"/>
          <w:sz w:val="24"/>
        </w:rPr>
        <w:t>作业辅助设施。</w:t>
      </w:r>
    </w:p>
    <w:p w14:paraId="1C599BEA">
      <w:pPr>
        <w:ind w:firstLine="480"/>
        <w:rPr>
          <w:rFonts w:ascii="仿宋" w:hAnsi="仿宋"/>
          <w:sz w:val="24"/>
        </w:rPr>
      </w:pPr>
      <w:r>
        <w:rPr>
          <w:rFonts w:ascii="仿宋" w:hAnsi="仿宋"/>
          <w:sz w:val="24"/>
        </w:rPr>
        <w:t>杂货码头区（二）：位于东港池北侧，主要满足静脉产业园原材料和产成品运输需求，以及临港产业区基础设施建设所需物资，以杂货运输为主，兼顾部分集装箱运输功能。规划形成码头岸线795m，可顺岸布置5000~10000吨级杂货泊位5个，陆域纵深500 m，面积约88万m2，作为堆场、仓库和相关配套设施用地。</w:t>
      </w:r>
    </w:p>
    <w:p w14:paraId="34BF1163">
      <w:pPr>
        <w:ind w:firstLine="480"/>
        <w:rPr>
          <w:rFonts w:ascii="仿宋" w:hAnsi="仿宋"/>
          <w:sz w:val="24"/>
        </w:rPr>
      </w:pPr>
      <w:r>
        <w:rPr>
          <w:rFonts w:ascii="仿宋" w:hAnsi="仿宋"/>
          <w:sz w:val="24"/>
        </w:rPr>
        <w:t>通用码头区：位于东港池西侧，主要满足庄河本地及周边地区经济发展所需的原材料、产成品运输需求。规划形成码头岸线1720m，可顺岸布置万吨级以上通用泊位8个，陆域纵深780m，面积约140万m2，作为堆场、仓库用地。</w:t>
      </w:r>
    </w:p>
    <w:p w14:paraId="210AD158">
      <w:pPr>
        <w:ind w:firstLine="480"/>
        <w:rPr>
          <w:rFonts w:ascii="仿宋" w:hAnsi="仿宋"/>
          <w:sz w:val="24"/>
        </w:rPr>
      </w:pPr>
      <w:r>
        <w:rPr>
          <w:rFonts w:ascii="仿宋" w:hAnsi="仿宋"/>
          <w:sz w:val="24"/>
        </w:rPr>
        <w:t>支持系统区：规划东港池南侧端部130m岸线为支持系统岸线，供工作船和港作拖轮靠泊。近期可在滚装码头区内布置少量海事工作船码头，以满足港口的实际运营需求。</w:t>
      </w:r>
    </w:p>
    <w:p w14:paraId="370DD04C">
      <w:pPr>
        <w:ind w:firstLine="480"/>
        <w:rPr>
          <w:rFonts w:ascii="仿宋" w:hAnsi="仿宋"/>
          <w:sz w:val="24"/>
        </w:rPr>
      </w:pPr>
      <w:r>
        <w:rPr>
          <w:rFonts w:ascii="仿宋" w:hAnsi="仿宋"/>
          <w:sz w:val="24"/>
        </w:rPr>
        <w:t>客运服务区：位于滚装码头区后方，面积约20万m2，建设餐饮、商业、娱乐、金融等服务设施，可为近洋滚装运输和陆岛运输提供客运配套服务，同时可结合打拉腰东侧滨海旅游区的开发建设，拓展相关旅游功能。</w:t>
      </w:r>
    </w:p>
    <w:p w14:paraId="27FCB759">
      <w:pPr>
        <w:ind w:firstLine="480"/>
        <w:rPr>
          <w:rFonts w:ascii="仿宋" w:hAnsi="仿宋"/>
          <w:sz w:val="24"/>
        </w:rPr>
      </w:pPr>
      <w:r>
        <w:rPr>
          <w:rFonts w:ascii="仿宋" w:hAnsi="仿宋"/>
          <w:sz w:val="24"/>
        </w:rPr>
        <w:t>港口物流区：位于杂货码头区后方，陆域纵深500m，面积约95万m2，为城市物资和临港企业提供分拨、配送、流通加工、仓储调节、保税等服务。</w:t>
      </w:r>
    </w:p>
    <w:p w14:paraId="25128C9A">
      <w:pPr>
        <w:ind w:firstLine="480"/>
        <w:rPr>
          <w:rFonts w:ascii="仿宋" w:hAnsi="仿宋"/>
          <w:sz w:val="24"/>
        </w:rPr>
      </w:pPr>
      <w:r>
        <w:rPr>
          <w:rFonts w:ascii="仿宋" w:hAnsi="仿宋"/>
          <w:sz w:val="24"/>
        </w:rPr>
        <w:t>临港工业区：位于港口物流区后方，陆域面积约330万m2，作为临港工业发展用地，是引导与港口生产关系密切的产业向港区集聚发展的区域，是促进港口和临港产业联动开发的重要区域。</w:t>
      </w:r>
    </w:p>
    <w:p w14:paraId="53A8BD6C">
      <w:pPr>
        <w:ind w:firstLine="480"/>
        <w:rPr>
          <w:rFonts w:ascii="仿宋" w:hAnsi="仿宋"/>
          <w:sz w:val="24"/>
        </w:rPr>
      </w:pPr>
      <w:r>
        <w:rPr>
          <w:rFonts w:ascii="仿宋" w:hAnsi="仿宋"/>
          <w:sz w:val="24"/>
        </w:rPr>
        <w:t>预留发展区：规划西港池岸线及其后方陆域为预留发展区，主要服务临港工业发展。考虑到东港池资源容量有限，将西港池东侧岸线作为将军石作业区公共运输功能的接续发展空间，</w:t>
      </w:r>
      <w:r>
        <w:rPr>
          <w:rFonts w:hint="eastAsia" w:ascii="仿宋" w:hAnsi="仿宋"/>
          <w:sz w:val="24"/>
          <w:lang w:eastAsia="zh-CN"/>
        </w:rPr>
        <w:t>其他</w:t>
      </w:r>
      <w:r>
        <w:rPr>
          <w:rFonts w:ascii="仿宋" w:hAnsi="仿宋"/>
          <w:sz w:val="24"/>
        </w:rPr>
        <w:t>岸线可根据后方临港产业发展需要适时建设，在项目阶段进一步确定平面布置方案。</w:t>
      </w:r>
    </w:p>
    <w:p w14:paraId="0B77AB09">
      <w:pPr>
        <w:ind w:firstLine="480"/>
        <w:rPr>
          <w:rFonts w:ascii="仿宋" w:hAnsi="仿宋"/>
          <w:sz w:val="24"/>
        </w:rPr>
      </w:pPr>
      <w:r>
        <w:rPr>
          <w:rFonts w:ascii="仿宋" w:hAnsi="仿宋"/>
          <w:sz w:val="24"/>
        </w:rPr>
        <w:t>将军石作业区主要规划指标见表5</w:t>
      </w:r>
      <w:r>
        <w:rPr>
          <w:rFonts w:hint="eastAsia" w:ascii="仿宋" w:hAnsi="仿宋"/>
          <w:sz w:val="24"/>
        </w:rPr>
        <w:t>，总平面布置图如图8所示</w:t>
      </w:r>
      <w:r>
        <w:rPr>
          <w:rFonts w:ascii="仿宋" w:hAnsi="仿宋"/>
          <w:sz w:val="24"/>
        </w:rPr>
        <w:t>。</w:t>
      </w:r>
    </w:p>
    <w:p w14:paraId="08E920BC">
      <w:pPr>
        <w:ind w:firstLine="0" w:firstLineChars="0"/>
        <w:jc w:val="center"/>
        <w:rPr>
          <w:rFonts w:ascii="仿宋" w:hAnsi="仿宋"/>
          <w:bCs/>
          <w:spacing w:val="6"/>
          <w:sz w:val="21"/>
          <w:szCs w:val="21"/>
        </w:rPr>
      </w:pPr>
      <w:r>
        <w:rPr>
          <w:rFonts w:ascii="仿宋" w:hAnsi="仿宋"/>
          <w:bCs/>
          <w:spacing w:val="6"/>
          <w:sz w:val="21"/>
          <w:szCs w:val="21"/>
        </w:rPr>
        <w:t>表5 将军石作业区规划指标表</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4"/>
        <w:gridCol w:w="3447"/>
        <w:gridCol w:w="1636"/>
        <w:gridCol w:w="2071"/>
      </w:tblGrid>
      <w:tr w14:paraId="5E002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blHeader/>
          <w:jc w:val="center"/>
        </w:trPr>
        <w:tc>
          <w:tcPr>
            <w:tcW w:w="806" w:type="pct"/>
            <w:shd w:val="clear" w:color="auto" w:fill="auto"/>
            <w:vAlign w:val="center"/>
          </w:tcPr>
          <w:p w14:paraId="7299831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序号</w:t>
            </w:r>
          </w:p>
        </w:tc>
        <w:tc>
          <w:tcPr>
            <w:tcW w:w="2021" w:type="pct"/>
            <w:shd w:val="clear" w:color="auto" w:fill="auto"/>
            <w:vAlign w:val="center"/>
          </w:tcPr>
          <w:p w14:paraId="06461AE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内容</w:t>
            </w:r>
          </w:p>
        </w:tc>
        <w:tc>
          <w:tcPr>
            <w:tcW w:w="959" w:type="pct"/>
            <w:shd w:val="clear" w:color="auto" w:fill="auto"/>
            <w:vAlign w:val="center"/>
          </w:tcPr>
          <w:p w14:paraId="4A8340A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单位</w:t>
            </w:r>
          </w:p>
        </w:tc>
        <w:tc>
          <w:tcPr>
            <w:tcW w:w="1214" w:type="pct"/>
            <w:shd w:val="clear" w:color="auto" w:fill="auto"/>
            <w:vAlign w:val="center"/>
          </w:tcPr>
          <w:p w14:paraId="2854F32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规划方案</w:t>
            </w:r>
          </w:p>
        </w:tc>
      </w:tr>
      <w:tr w14:paraId="6EDD8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460CC79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一</w:t>
            </w:r>
          </w:p>
        </w:tc>
        <w:tc>
          <w:tcPr>
            <w:tcW w:w="2021" w:type="pct"/>
            <w:shd w:val="clear" w:color="auto" w:fill="auto"/>
            <w:vAlign w:val="center"/>
          </w:tcPr>
          <w:p w14:paraId="7352181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码头岸线长度/泊位数</w:t>
            </w:r>
          </w:p>
        </w:tc>
        <w:tc>
          <w:tcPr>
            <w:tcW w:w="959" w:type="pct"/>
            <w:shd w:val="clear" w:color="auto" w:fill="auto"/>
            <w:vAlign w:val="center"/>
          </w:tcPr>
          <w:p w14:paraId="2F74011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m/个</w:t>
            </w:r>
          </w:p>
        </w:tc>
        <w:tc>
          <w:tcPr>
            <w:tcW w:w="1214" w:type="pct"/>
            <w:shd w:val="clear" w:color="auto" w:fill="auto"/>
            <w:vAlign w:val="center"/>
          </w:tcPr>
          <w:p w14:paraId="105A2F8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4348/25</w:t>
            </w:r>
          </w:p>
        </w:tc>
      </w:tr>
      <w:tr w14:paraId="64C9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438B90B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2021" w:type="pct"/>
            <w:shd w:val="clear" w:color="auto" w:fill="auto"/>
            <w:vAlign w:val="center"/>
          </w:tcPr>
          <w:p w14:paraId="5C3AD05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滚装码头区</w:t>
            </w:r>
          </w:p>
        </w:tc>
        <w:tc>
          <w:tcPr>
            <w:tcW w:w="959" w:type="pct"/>
            <w:shd w:val="clear" w:color="auto" w:fill="auto"/>
            <w:vAlign w:val="center"/>
          </w:tcPr>
          <w:p w14:paraId="57582F2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m/个</w:t>
            </w:r>
          </w:p>
        </w:tc>
        <w:tc>
          <w:tcPr>
            <w:tcW w:w="1214" w:type="pct"/>
            <w:shd w:val="clear" w:color="auto" w:fill="auto"/>
            <w:vAlign w:val="center"/>
          </w:tcPr>
          <w:p w14:paraId="6D154A1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719/7</w:t>
            </w:r>
          </w:p>
        </w:tc>
      </w:tr>
      <w:tr w14:paraId="05619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21C658E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2021" w:type="pct"/>
            <w:shd w:val="clear" w:color="auto" w:fill="auto"/>
            <w:vAlign w:val="center"/>
          </w:tcPr>
          <w:p w14:paraId="514D97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杂货码头区（一）</w:t>
            </w:r>
          </w:p>
        </w:tc>
        <w:tc>
          <w:tcPr>
            <w:tcW w:w="959" w:type="pct"/>
            <w:shd w:val="clear" w:color="auto" w:fill="auto"/>
            <w:vAlign w:val="center"/>
          </w:tcPr>
          <w:p w14:paraId="28C711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m/个</w:t>
            </w:r>
          </w:p>
        </w:tc>
        <w:tc>
          <w:tcPr>
            <w:tcW w:w="1214" w:type="pct"/>
            <w:shd w:val="clear" w:color="auto" w:fill="auto"/>
            <w:vAlign w:val="center"/>
          </w:tcPr>
          <w:p w14:paraId="7808D1B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984/5</w:t>
            </w:r>
          </w:p>
        </w:tc>
      </w:tr>
      <w:tr w14:paraId="2F40D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0BE5B09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2021" w:type="pct"/>
            <w:shd w:val="clear" w:color="auto" w:fill="auto"/>
            <w:vAlign w:val="center"/>
          </w:tcPr>
          <w:p w14:paraId="05B396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杂货码头区（二）</w:t>
            </w:r>
          </w:p>
        </w:tc>
        <w:tc>
          <w:tcPr>
            <w:tcW w:w="959" w:type="pct"/>
            <w:shd w:val="clear" w:color="auto" w:fill="auto"/>
            <w:vAlign w:val="center"/>
          </w:tcPr>
          <w:p w14:paraId="559E8EB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m/个</w:t>
            </w:r>
          </w:p>
        </w:tc>
        <w:tc>
          <w:tcPr>
            <w:tcW w:w="1214" w:type="pct"/>
            <w:shd w:val="clear" w:color="auto" w:fill="auto"/>
            <w:vAlign w:val="center"/>
          </w:tcPr>
          <w:p w14:paraId="3ED5E86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795/5</w:t>
            </w:r>
          </w:p>
        </w:tc>
      </w:tr>
      <w:tr w14:paraId="485F0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64DDABA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2021" w:type="pct"/>
            <w:shd w:val="clear" w:color="auto" w:fill="auto"/>
            <w:vAlign w:val="center"/>
          </w:tcPr>
          <w:p w14:paraId="270F09D9">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通用码头区</w:t>
            </w:r>
          </w:p>
        </w:tc>
        <w:tc>
          <w:tcPr>
            <w:tcW w:w="959" w:type="pct"/>
            <w:shd w:val="clear" w:color="auto" w:fill="auto"/>
            <w:vAlign w:val="center"/>
          </w:tcPr>
          <w:p w14:paraId="06F99E0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m/个</w:t>
            </w:r>
          </w:p>
        </w:tc>
        <w:tc>
          <w:tcPr>
            <w:tcW w:w="1214" w:type="pct"/>
            <w:shd w:val="clear" w:color="auto" w:fill="auto"/>
            <w:vAlign w:val="center"/>
          </w:tcPr>
          <w:p w14:paraId="313138D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1720/8</w:t>
            </w:r>
          </w:p>
        </w:tc>
      </w:tr>
      <w:tr w14:paraId="5C7CE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00544EC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w:t>
            </w:r>
          </w:p>
        </w:tc>
        <w:tc>
          <w:tcPr>
            <w:tcW w:w="2021" w:type="pct"/>
            <w:shd w:val="clear" w:color="auto" w:fill="auto"/>
            <w:vAlign w:val="center"/>
          </w:tcPr>
          <w:p w14:paraId="3D5E0972">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支持系统</w:t>
            </w:r>
          </w:p>
        </w:tc>
        <w:tc>
          <w:tcPr>
            <w:tcW w:w="959" w:type="pct"/>
            <w:shd w:val="clear" w:color="auto" w:fill="auto"/>
            <w:vAlign w:val="center"/>
          </w:tcPr>
          <w:p w14:paraId="5B9D314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m</w:t>
            </w:r>
          </w:p>
        </w:tc>
        <w:tc>
          <w:tcPr>
            <w:tcW w:w="1214" w:type="pct"/>
            <w:shd w:val="clear" w:color="auto" w:fill="auto"/>
            <w:vAlign w:val="center"/>
          </w:tcPr>
          <w:p w14:paraId="387786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130</w:t>
            </w:r>
          </w:p>
        </w:tc>
      </w:tr>
      <w:tr w14:paraId="7F92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3F87EBC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二</w:t>
            </w:r>
          </w:p>
        </w:tc>
        <w:tc>
          <w:tcPr>
            <w:tcW w:w="2021" w:type="pct"/>
            <w:shd w:val="clear" w:color="auto" w:fill="auto"/>
            <w:vAlign w:val="center"/>
          </w:tcPr>
          <w:p w14:paraId="5C6C9EEF">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码头通过能力</w:t>
            </w:r>
          </w:p>
        </w:tc>
        <w:tc>
          <w:tcPr>
            <w:tcW w:w="959" w:type="pct"/>
            <w:shd w:val="clear" w:color="auto" w:fill="auto"/>
            <w:vAlign w:val="center"/>
          </w:tcPr>
          <w:p w14:paraId="4E1A23C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万吨</w:t>
            </w:r>
          </w:p>
        </w:tc>
        <w:tc>
          <w:tcPr>
            <w:tcW w:w="1214" w:type="pct"/>
            <w:shd w:val="clear" w:color="auto" w:fill="auto"/>
            <w:vAlign w:val="center"/>
          </w:tcPr>
          <w:p w14:paraId="5BDB1A7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2500</w:t>
            </w:r>
          </w:p>
        </w:tc>
      </w:tr>
      <w:tr w14:paraId="24219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36D642A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2021" w:type="pct"/>
            <w:shd w:val="clear" w:color="auto" w:fill="auto"/>
            <w:vAlign w:val="center"/>
          </w:tcPr>
          <w:p w14:paraId="54C6D6A8">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滚装码头区</w:t>
            </w:r>
          </w:p>
        </w:tc>
        <w:tc>
          <w:tcPr>
            <w:tcW w:w="959" w:type="pct"/>
            <w:shd w:val="clear" w:color="auto" w:fill="auto"/>
            <w:vAlign w:val="center"/>
          </w:tcPr>
          <w:p w14:paraId="6B25BF6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万吨</w:t>
            </w:r>
          </w:p>
        </w:tc>
        <w:tc>
          <w:tcPr>
            <w:tcW w:w="1214" w:type="pct"/>
            <w:shd w:val="clear" w:color="auto" w:fill="auto"/>
            <w:vAlign w:val="center"/>
          </w:tcPr>
          <w:p w14:paraId="222C9A2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400</w:t>
            </w:r>
          </w:p>
        </w:tc>
      </w:tr>
      <w:tr w14:paraId="53381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36C54D0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2021" w:type="pct"/>
            <w:shd w:val="clear" w:color="auto" w:fill="auto"/>
            <w:vAlign w:val="center"/>
          </w:tcPr>
          <w:p w14:paraId="4A28C1B6">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杂货码头区（一）</w:t>
            </w:r>
          </w:p>
        </w:tc>
        <w:tc>
          <w:tcPr>
            <w:tcW w:w="959" w:type="pct"/>
            <w:shd w:val="clear" w:color="auto" w:fill="auto"/>
            <w:vAlign w:val="center"/>
          </w:tcPr>
          <w:p w14:paraId="189C377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万吨</w:t>
            </w:r>
          </w:p>
        </w:tc>
        <w:tc>
          <w:tcPr>
            <w:tcW w:w="1214" w:type="pct"/>
            <w:shd w:val="clear" w:color="auto" w:fill="auto"/>
            <w:vAlign w:val="center"/>
          </w:tcPr>
          <w:p w14:paraId="3C097E1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500</w:t>
            </w:r>
          </w:p>
        </w:tc>
      </w:tr>
      <w:tr w14:paraId="65987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2A05F59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2021" w:type="pct"/>
            <w:shd w:val="clear" w:color="auto" w:fill="auto"/>
            <w:vAlign w:val="center"/>
          </w:tcPr>
          <w:p w14:paraId="41AB3BC8">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杂货码头区（二）</w:t>
            </w:r>
          </w:p>
        </w:tc>
        <w:tc>
          <w:tcPr>
            <w:tcW w:w="959" w:type="pct"/>
            <w:shd w:val="clear" w:color="auto" w:fill="auto"/>
            <w:vAlign w:val="center"/>
          </w:tcPr>
          <w:p w14:paraId="61213BA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万吨</w:t>
            </w:r>
          </w:p>
        </w:tc>
        <w:tc>
          <w:tcPr>
            <w:tcW w:w="1214" w:type="pct"/>
            <w:shd w:val="clear" w:color="auto" w:fill="auto"/>
            <w:vAlign w:val="center"/>
          </w:tcPr>
          <w:p w14:paraId="52FA40E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400</w:t>
            </w:r>
          </w:p>
        </w:tc>
      </w:tr>
      <w:tr w14:paraId="4C9A0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256B4B4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2021" w:type="pct"/>
            <w:shd w:val="clear" w:color="auto" w:fill="auto"/>
            <w:vAlign w:val="center"/>
          </w:tcPr>
          <w:p w14:paraId="2033419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通用码头区</w:t>
            </w:r>
          </w:p>
        </w:tc>
        <w:tc>
          <w:tcPr>
            <w:tcW w:w="959" w:type="pct"/>
            <w:shd w:val="clear" w:color="auto" w:fill="auto"/>
            <w:vAlign w:val="center"/>
          </w:tcPr>
          <w:p w14:paraId="696878E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万吨</w:t>
            </w:r>
          </w:p>
        </w:tc>
        <w:tc>
          <w:tcPr>
            <w:tcW w:w="1214" w:type="pct"/>
            <w:shd w:val="clear" w:color="auto" w:fill="auto"/>
            <w:vAlign w:val="center"/>
          </w:tcPr>
          <w:p w14:paraId="67F2119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1200</w:t>
            </w:r>
          </w:p>
        </w:tc>
      </w:tr>
      <w:tr w14:paraId="44352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4D11191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三</w:t>
            </w:r>
          </w:p>
        </w:tc>
        <w:tc>
          <w:tcPr>
            <w:tcW w:w="2021" w:type="pct"/>
            <w:shd w:val="clear" w:color="auto" w:fill="auto"/>
            <w:vAlign w:val="center"/>
          </w:tcPr>
          <w:p w14:paraId="23FB6A9C">
            <w:pPr>
              <w:spacing w:line="240" w:lineRule="auto"/>
              <w:ind w:right="120" w:firstLine="420" w:firstLineChars="0"/>
              <w:jc w:val="center"/>
              <w:rPr>
                <w:rFonts w:ascii="仿宋" w:hAnsi="仿宋"/>
                <w:color w:val="000000"/>
                <w:kern w:val="0"/>
                <w:sz w:val="21"/>
                <w:szCs w:val="21"/>
              </w:rPr>
            </w:pPr>
            <w:r>
              <w:rPr>
                <w:rFonts w:ascii="仿宋" w:hAnsi="仿宋"/>
                <w:color w:val="000000"/>
                <w:kern w:val="0"/>
                <w:sz w:val="21"/>
                <w:szCs w:val="21"/>
              </w:rPr>
              <w:t>陆域面积</w:t>
            </w:r>
          </w:p>
        </w:tc>
        <w:tc>
          <w:tcPr>
            <w:tcW w:w="959" w:type="pct"/>
            <w:shd w:val="clear" w:color="auto" w:fill="auto"/>
            <w:vAlign w:val="center"/>
          </w:tcPr>
          <w:p w14:paraId="7F35967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45D980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721</w:t>
            </w:r>
          </w:p>
        </w:tc>
      </w:tr>
      <w:tr w14:paraId="38B67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vMerge w:val="restart"/>
            <w:shd w:val="clear" w:color="auto" w:fill="auto"/>
            <w:vAlign w:val="center"/>
          </w:tcPr>
          <w:p w14:paraId="460FDAE5">
            <w:pPr>
              <w:spacing w:line="240" w:lineRule="auto"/>
              <w:ind w:firstLine="0" w:firstLineChars="0"/>
              <w:jc w:val="center"/>
              <w:rPr>
                <w:rFonts w:ascii="仿宋" w:hAnsi="仿宋"/>
                <w:color w:val="000000"/>
                <w:kern w:val="0"/>
                <w:sz w:val="21"/>
                <w:szCs w:val="21"/>
              </w:rPr>
            </w:pPr>
          </w:p>
        </w:tc>
        <w:tc>
          <w:tcPr>
            <w:tcW w:w="2021" w:type="pct"/>
            <w:shd w:val="clear" w:color="auto" w:fill="auto"/>
            <w:vAlign w:val="center"/>
          </w:tcPr>
          <w:p w14:paraId="694D5EFA">
            <w:pPr>
              <w:spacing w:line="240" w:lineRule="auto"/>
              <w:ind w:right="120" w:firstLine="0" w:firstLineChars="0"/>
              <w:jc w:val="center"/>
              <w:rPr>
                <w:rFonts w:ascii="仿宋" w:hAnsi="仿宋"/>
                <w:color w:val="000000"/>
                <w:kern w:val="0"/>
                <w:sz w:val="21"/>
                <w:szCs w:val="21"/>
              </w:rPr>
            </w:pPr>
            <w:r>
              <w:rPr>
                <w:rFonts w:ascii="仿宋" w:hAnsi="仿宋"/>
                <w:color w:val="000000"/>
                <w:kern w:val="0"/>
                <w:sz w:val="21"/>
                <w:szCs w:val="21"/>
              </w:rPr>
              <w:t>生产作业区</w:t>
            </w:r>
          </w:p>
        </w:tc>
        <w:tc>
          <w:tcPr>
            <w:tcW w:w="959" w:type="pct"/>
            <w:shd w:val="clear" w:color="auto" w:fill="auto"/>
            <w:vAlign w:val="center"/>
          </w:tcPr>
          <w:p w14:paraId="58418A3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6560414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275</w:t>
            </w:r>
          </w:p>
        </w:tc>
      </w:tr>
      <w:tr w14:paraId="37685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vMerge w:val="continue"/>
            <w:shd w:val="clear" w:color="auto" w:fill="auto"/>
            <w:vAlign w:val="center"/>
          </w:tcPr>
          <w:p w14:paraId="4A4159D3">
            <w:pPr>
              <w:spacing w:line="240" w:lineRule="auto"/>
              <w:ind w:firstLine="0" w:firstLineChars="0"/>
              <w:jc w:val="center"/>
              <w:rPr>
                <w:rFonts w:ascii="仿宋" w:hAnsi="仿宋"/>
                <w:color w:val="000000"/>
                <w:kern w:val="0"/>
                <w:sz w:val="21"/>
                <w:szCs w:val="21"/>
              </w:rPr>
            </w:pPr>
          </w:p>
        </w:tc>
        <w:tc>
          <w:tcPr>
            <w:tcW w:w="2021" w:type="pct"/>
            <w:shd w:val="clear" w:color="auto" w:fill="auto"/>
            <w:vAlign w:val="center"/>
          </w:tcPr>
          <w:p w14:paraId="481FC0FA">
            <w:pPr>
              <w:spacing w:line="240" w:lineRule="auto"/>
              <w:ind w:right="120" w:firstLine="0" w:firstLineChars="0"/>
              <w:jc w:val="center"/>
              <w:rPr>
                <w:rFonts w:ascii="仿宋" w:hAnsi="仿宋"/>
                <w:color w:val="000000"/>
                <w:kern w:val="0"/>
                <w:sz w:val="21"/>
                <w:szCs w:val="21"/>
              </w:rPr>
            </w:pPr>
            <w:r>
              <w:rPr>
                <w:rFonts w:ascii="仿宋" w:hAnsi="仿宋"/>
                <w:color w:val="000000"/>
                <w:kern w:val="0"/>
                <w:sz w:val="21"/>
                <w:szCs w:val="21"/>
              </w:rPr>
              <w:t>内：滚装码头区</w:t>
            </w:r>
          </w:p>
        </w:tc>
        <w:tc>
          <w:tcPr>
            <w:tcW w:w="959" w:type="pct"/>
            <w:shd w:val="clear" w:color="auto" w:fill="auto"/>
            <w:vAlign w:val="center"/>
          </w:tcPr>
          <w:p w14:paraId="053B220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4895D71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25</w:t>
            </w:r>
          </w:p>
        </w:tc>
      </w:tr>
      <w:tr w14:paraId="6DA72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vMerge w:val="restart"/>
            <w:shd w:val="clear" w:color="auto" w:fill="auto"/>
            <w:vAlign w:val="center"/>
          </w:tcPr>
          <w:p w14:paraId="39CC45F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2021" w:type="pct"/>
            <w:shd w:val="clear" w:color="auto" w:fill="auto"/>
            <w:vAlign w:val="center"/>
          </w:tcPr>
          <w:p w14:paraId="6CA41546">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内：杂货码头区（一）</w:t>
            </w:r>
          </w:p>
        </w:tc>
        <w:tc>
          <w:tcPr>
            <w:tcW w:w="959" w:type="pct"/>
            <w:shd w:val="clear" w:color="auto" w:fill="auto"/>
            <w:vAlign w:val="center"/>
          </w:tcPr>
          <w:p w14:paraId="6DD11FC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0ABC1CB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w:t>
            </w:r>
          </w:p>
        </w:tc>
      </w:tr>
      <w:tr w14:paraId="529F3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vMerge w:val="continue"/>
            <w:shd w:val="clear" w:color="auto" w:fill="auto"/>
            <w:vAlign w:val="center"/>
          </w:tcPr>
          <w:p w14:paraId="40BFCB75">
            <w:pPr>
              <w:spacing w:line="240" w:lineRule="auto"/>
              <w:ind w:firstLine="0" w:firstLineChars="0"/>
              <w:jc w:val="center"/>
              <w:rPr>
                <w:rFonts w:ascii="仿宋" w:hAnsi="仿宋"/>
                <w:color w:val="000000"/>
                <w:kern w:val="0"/>
                <w:sz w:val="21"/>
                <w:szCs w:val="21"/>
              </w:rPr>
            </w:pPr>
          </w:p>
        </w:tc>
        <w:tc>
          <w:tcPr>
            <w:tcW w:w="2021" w:type="pct"/>
            <w:shd w:val="clear" w:color="auto" w:fill="auto"/>
            <w:vAlign w:val="center"/>
          </w:tcPr>
          <w:p w14:paraId="18ED27F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内：杂货码头区（二）</w:t>
            </w:r>
          </w:p>
        </w:tc>
        <w:tc>
          <w:tcPr>
            <w:tcW w:w="959" w:type="pct"/>
            <w:shd w:val="clear" w:color="auto" w:fill="auto"/>
            <w:vAlign w:val="center"/>
          </w:tcPr>
          <w:p w14:paraId="5D21F34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7A7E195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88</w:t>
            </w:r>
          </w:p>
        </w:tc>
      </w:tr>
      <w:tr w14:paraId="4ED8D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vMerge w:val="continue"/>
            <w:shd w:val="clear" w:color="auto" w:fill="auto"/>
            <w:vAlign w:val="center"/>
          </w:tcPr>
          <w:p w14:paraId="40A0F803">
            <w:pPr>
              <w:spacing w:line="240" w:lineRule="auto"/>
              <w:ind w:firstLine="0" w:firstLineChars="0"/>
              <w:jc w:val="center"/>
              <w:rPr>
                <w:rFonts w:ascii="仿宋" w:hAnsi="仿宋"/>
                <w:color w:val="000000"/>
                <w:kern w:val="0"/>
                <w:sz w:val="21"/>
                <w:szCs w:val="21"/>
              </w:rPr>
            </w:pPr>
          </w:p>
        </w:tc>
        <w:tc>
          <w:tcPr>
            <w:tcW w:w="2021" w:type="pct"/>
            <w:shd w:val="clear" w:color="auto" w:fill="auto"/>
            <w:vAlign w:val="center"/>
          </w:tcPr>
          <w:p w14:paraId="7A57733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内：通用码头区</w:t>
            </w:r>
          </w:p>
        </w:tc>
        <w:tc>
          <w:tcPr>
            <w:tcW w:w="959" w:type="pct"/>
            <w:shd w:val="clear" w:color="auto" w:fill="auto"/>
            <w:vAlign w:val="center"/>
          </w:tcPr>
          <w:p w14:paraId="07ECD76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241182E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140</w:t>
            </w:r>
          </w:p>
        </w:tc>
      </w:tr>
      <w:tr w14:paraId="09D91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7050905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2021" w:type="pct"/>
            <w:shd w:val="clear" w:color="auto" w:fill="auto"/>
            <w:vAlign w:val="center"/>
          </w:tcPr>
          <w:p w14:paraId="5DBF68AC">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支持系统区</w:t>
            </w:r>
          </w:p>
        </w:tc>
        <w:tc>
          <w:tcPr>
            <w:tcW w:w="959" w:type="pct"/>
            <w:shd w:val="clear" w:color="auto" w:fill="auto"/>
            <w:vAlign w:val="center"/>
          </w:tcPr>
          <w:p w14:paraId="131F788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395EEDE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r>
      <w:tr w14:paraId="66750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6817C90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2021" w:type="pct"/>
            <w:shd w:val="clear" w:color="auto" w:fill="auto"/>
            <w:vAlign w:val="center"/>
          </w:tcPr>
          <w:p w14:paraId="73879729">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客运服务区</w:t>
            </w:r>
          </w:p>
        </w:tc>
        <w:tc>
          <w:tcPr>
            <w:tcW w:w="959" w:type="pct"/>
            <w:shd w:val="clear" w:color="auto" w:fill="auto"/>
            <w:vAlign w:val="center"/>
          </w:tcPr>
          <w:p w14:paraId="33BEF1A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3F48C9D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w:t>
            </w:r>
          </w:p>
        </w:tc>
      </w:tr>
      <w:tr w14:paraId="767B0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319B20B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2021" w:type="pct"/>
            <w:shd w:val="clear" w:color="auto" w:fill="auto"/>
            <w:vAlign w:val="center"/>
          </w:tcPr>
          <w:p w14:paraId="2743B44D">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港口物流区</w:t>
            </w:r>
          </w:p>
        </w:tc>
        <w:tc>
          <w:tcPr>
            <w:tcW w:w="959" w:type="pct"/>
            <w:shd w:val="clear" w:color="auto" w:fill="auto"/>
            <w:vAlign w:val="center"/>
          </w:tcPr>
          <w:p w14:paraId="6B68A5F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28B302B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95</w:t>
            </w:r>
          </w:p>
        </w:tc>
      </w:tr>
      <w:tr w14:paraId="46E99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806" w:type="pct"/>
            <w:shd w:val="clear" w:color="auto" w:fill="auto"/>
            <w:vAlign w:val="center"/>
          </w:tcPr>
          <w:p w14:paraId="690BC6C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w:t>
            </w:r>
          </w:p>
        </w:tc>
        <w:tc>
          <w:tcPr>
            <w:tcW w:w="2021" w:type="pct"/>
            <w:shd w:val="clear" w:color="auto" w:fill="auto"/>
            <w:vAlign w:val="center"/>
          </w:tcPr>
          <w:p w14:paraId="03D4B0A9">
            <w:pPr>
              <w:spacing w:line="240" w:lineRule="auto"/>
              <w:ind w:firstLine="420" w:firstLineChars="0"/>
              <w:jc w:val="center"/>
              <w:rPr>
                <w:rFonts w:ascii="仿宋" w:hAnsi="仿宋"/>
                <w:color w:val="000000"/>
                <w:kern w:val="0"/>
                <w:sz w:val="21"/>
                <w:szCs w:val="21"/>
              </w:rPr>
            </w:pPr>
            <w:r>
              <w:rPr>
                <w:rFonts w:ascii="仿宋" w:hAnsi="仿宋"/>
                <w:color w:val="000000"/>
                <w:kern w:val="0"/>
                <w:sz w:val="21"/>
                <w:szCs w:val="21"/>
              </w:rPr>
              <w:t>临港工业区</w:t>
            </w:r>
          </w:p>
        </w:tc>
        <w:tc>
          <w:tcPr>
            <w:tcW w:w="959" w:type="pct"/>
            <w:shd w:val="clear" w:color="auto" w:fill="auto"/>
            <w:vAlign w:val="center"/>
          </w:tcPr>
          <w:p w14:paraId="1189EF0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万m</w:t>
            </w:r>
            <w:r>
              <w:rPr>
                <w:rFonts w:ascii="仿宋" w:hAnsi="仿宋"/>
                <w:color w:val="000000"/>
                <w:kern w:val="0"/>
                <w:sz w:val="21"/>
                <w:szCs w:val="21"/>
                <w:vertAlign w:val="superscript"/>
              </w:rPr>
              <w:t>2</w:t>
            </w:r>
          </w:p>
        </w:tc>
        <w:tc>
          <w:tcPr>
            <w:tcW w:w="1214" w:type="pct"/>
            <w:shd w:val="clear" w:color="auto" w:fill="auto"/>
            <w:vAlign w:val="center"/>
          </w:tcPr>
          <w:p w14:paraId="73A2C84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330</w:t>
            </w:r>
          </w:p>
        </w:tc>
      </w:tr>
    </w:tbl>
    <w:p w14:paraId="0A3D60AB">
      <w:pPr>
        <w:ind w:firstLine="480"/>
        <w:rPr>
          <w:rFonts w:ascii="仿宋" w:hAnsi="仿宋"/>
          <w:sz w:val="24"/>
        </w:rPr>
      </w:pPr>
      <w:r>
        <w:rPr>
          <w:rFonts w:ascii="仿宋" w:hAnsi="仿宋"/>
          <w:sz w:val="24"/>
        </w:rPr>
        <w:t>注：不含西侧预留发展区。</w:t>
      </w:r>
    </w:p>
    <w:p w14:paraId="6FB23E02">
      <w:pPr>
        <w:ind w:firstLine="480"/>
        <w:rPr>
          <w:rFonts w:ascii="仿宋" w:hAnsi="仿宋"/>
          <w:sz w:val="24"/>
        </w:rPr>
      </w:pPr>
      <w:r>
        <w:rPr>
          <w:rFonts w:ascii="仿宋" w:hAnsi="仿宋"/>
          <w:sz w:val="24"/>
        </w:rPr>
        <w:t>规划方案形成码头岸线约4.3 km，可建设各类生产性泊位25个，形成通过能力约2500万吨，陆域面积7.2km</w:t>
      </w:r>
      <w:r>
        <w:rPr>
          <w:rFonts w:ascii="仿宋" w:hAnsi="仿宋"/>
          <w:sz w:val="24"/>
          <w:vertAlign w:val="superscript"/>
        </w:rPr>
        <w:t>2</w:t>
      </w:r>
      <w:r>
        <w:rPr>
          <w:rFonts w:ascii="仿宋" w:hAnsi="仿宋"/>
          <w:sz w:val="24"/>
        </w:rPr>
        <w:t>。</w:t>
      </w:r>
    </w:p>
    <w:p w14:paraId="2401D448">
      <w:pPr>
        <w:spacing w:line="300" w:lineRule="auto"/>
        <w:ind w:firstLine="0" w:firstLineChars="0"/>
        <w:jc w:val="center"/>
        <w:rPr>
          <w:rFonts w:ascii="Calibri" w:hAnsi="Calibri" w:eastAsia="宋体"/>
          <w:spacing w:val="6"/>
          <w:sz w:val="24"/>
        </w:rPr>
      </w:pPr>
      <w:r>
        <w:rPr>
          <w:rFonts w:ascii="Calibri" w:hAnsi="Calibri" w:eastAsia="宋体" w:cs="宋体"/>
          <w:spacing w:val="6"/>
          <w:sz w:val="21"/>
        </w:rPr>
        <w:drawing>
          <wp:inline distT="0" distB="0" distL="0" distR="0">
            <wp:extent cx="4385945" cy="6165850"/>
            <wp:effectExtent l="0" t="0" r="14605"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0" cstate="print">
                      <a:extLst>
                        <a:ext uri="{28A0092B-C50C-407E-A947-70E740481C1C}">
                          <a14:useLocalDpi xmlns:a14="http://schemas.microsoft.com/office/drawing/2010/main" val="0"/>
                        </a:ext>
                      </a:extLst>
                    </a:blip>
                    <a:srcRect l="8726" t="7196" r="8028" b="2395"/>
                    <a:stretch>
                      <a:fillRect/>
                    </a:stretch>
                  </pic:blipFill>
                  <pic:spPr>
                    <a:xfrm>
                      <a:off x="0" y="0"/>
                      <a:ext cx="4390246" cy="6171896"/>
                    </a:xfrm>
                    <a:prstGeom prst="rect">
                      <a:avLst/>
                    </a:prstGeom>
                    <a:noFill/>
                    <a:ln>
                      <a:noFill/>
                    </a:ln>
                  </pic:spPr>
                </pic:pic>
              </a:graphicData>
            </a:graphic>
          </wp:inline>
        </w:drawing>
      </w:r>
    </w:p>
    <w:p w14:paraId="753983E0">
      <w:pPr>
        <w:widowControl/>
        <w:ind w:firstLine="0" w:firstLineChars="0"/>
        <w:jc w:val="center"/>
        <w:rPr>
          <w:rFonts w:ascii="仿宋" w:hAnsi="仿宋"/>
          <w:bCs/>
          <w:sz w:val="21"/>
        </w:rPr>
      </w:pPr>
      <w:r>
        <w:rPr>
          <w:rFonts w:ascii="仿宋" w:hAnsi="仿宋"/>
          <w:bCs/>
          <w:sz w:val="21"/>
          <w:szCs w:val="20"/>
        </w:rPr>
        <w:t>图8 将军石作业区总平面布置图</w:t>
      </w:r>
    </w:p>
    <w:p w14:paraId="3A8531A5">
      <w:pPr>
        <w:ind w:firstLine="482"/>
        <w:rPr>
          <w:rFonts w:ascii="仿宋" w:hAnsi="仿宋"/>
          <w:b/>
          <w:sz w:val="24"/>
        </w:rPr>
      </w:pPr>
      <w:r>
        <w:rPr>
          <w:rFonts w:hint="eastAsia" w:ascii="仿宋" w:hAnsi="仿宋"/>
          <w:b/>
          <w:sz w:val="24"/>
        </w:rPr>
        <w:t>（2）</w:t>
      </w:r>
      <w:r>
        <w:rPr>
          <w:rFonts w:ascii="仿宋" w:hAnsi="仿宋"/>
          <w:b/>
          <w:sz w:val="24"/>
        </w:rPr>
        <w:t>黑岛作业区</w:t>
      </w:r>
    </w:p>
    <w:p w14:paraId="22CE57CB">
      <w:pPr>
        <w:ind w:firstLine="480"/>
        <w:rPr>
          <w:rFonts w:ascii="仿宋" w:hAnsi="仿宋"/>
          <w:sz w:val="24"/>
        </w:rPr>
      </w:pPr>
      <w:r>
        <w:rPr>
          <w:rFonts w:ascii="仿宋" w:hAnsi="仿宋"/>
          <w:sz w:val="24"/>
        </w:rPr>
        <w:t>根据庄河电厂扩建需要，在现有码头基础上向东延长新建1座煤码头。为减小对已建码头和宏观流场的影响，在电厂码头东侧采用引堤和引桥相结合布置“反L型”码头，同时考虑黑岛区域近岸泥沙活动性较强，码头前沿线布置在破碎带以外。下阶段结合港口开发需求，在港口实际运营中采取必要的减淤措施。在大连港庄河港区黑岛作业区规划建设LNG泊位。</w:t>
      </w:r>
    </w:p>
    <w:p w14:paraId="610AB9D8">
      <w:pPr>
        <w:ind w:firstLine="482"/>
        <w:rPr>
          <w:rFonts w:ascii="仿宋" w:hAnsi="仿宋"/>
          <w:b/>
          <w:sz w:val="24"/>
        </w:rPr>
      </w:pPr>
      <w:r>
        <w:rPr>
          <w:rFonts w:ascii="仿宋" w:hAnsi="仿宋"/>
          <w:b/>
          <w:sz w:val="24"/>
        </w:rPr>
        <w:t>（</w:t>
      </w:r>
      <w:r>
        <w:rPr>
          <w:rFonts w:hint="eastAsia" w:ascii="仿宋" w:hAnsi="仿宋"/>
          <w:b/>
          <w:sz w:val="24"/>
        </w:rPr>
        <w:t>3</w:t>
      </w:r>
      <w:r>
        <w:rPr>
          <w:rFonts w:ascii="仿宋" w:hAnsi="仿宋"/>
          <w:b/>
          <w:sz w:val="24"/>
        </w:rPr>
        <w:t>）</w:t>
      </w:r>
      <w:r>
        <w:rPr>
          <w:rFonts w:hint="eastAsia" w:ascii="仿宋" w:hAnsi="仿宋"/>
          <w:b/>
          <w:sz w:val="24"/>
        </w:rPr>
        <w:t>陆岛运输港点</w:t>
      </w:r>
    </w:p>
    <w:p w14:paraId="73888F06">
      <w:pPr>
        <w:ind w:firstLine="482"/>
        <w:rPr>
          <w:rFonts w:ascii="仿宋" w:hAnsi="仿宋"/>
          <w:sz w:val="24"/>
        </w:rPr>
      </w:pPr>
      <w:r>
        <w:rPr>
          <w:rFonts w:hint="eastAsia" w:ascii="仿宋" w:hAnsi="仿宋"/>
          <w:b/>
          <w:sz w:val="24"/>
        </w:rPr>
        <w:t>完善</w:t>
      </w:r>
      <w:r>
        <w:rPr>
          <w:rFonts w:ascii="仿宋" w:hAnsi="仿宋"/>
          <w:b/>
          <w:sz w:val="24"/>
        </w:rPr>
        <w:t>陆岛运输港</w:t>
      </w:r>
      <w:r>
        <w:rPr>
          <w:rFonts w:hint="eastAsia" w:ascii="仿宋" w:hAnsi="仿宋"/>
          <w:b/>
          <w:sz w:val="24"/>
        </w:rPr>
        <w:t>口交通运输体系建设，促进陆岛交通运输发展</w:t>
      </w:r>
      <w:r>
        <w:rPr>
          <w:rFonts w:hint="eastAsia" w:ascii="仿宋" w:hAnsi="仿宋"/>
          <w:sz w:val="24"/>
        </w:rPr>
        <w:t>。</w:t>
      </w:r>
      <w:r>
        <w:rPr>
          <w:rFonts w:ascii="仿宋" w:hAnsi="仿宋"/>
          <w:sz w:val="24"/>
        </w:rPr>
        <w:t>根据《大连港总体规划》，大连市陆岛交通运输以庄河、皮口、金石滩、杏树屯等港区（站）为大陆侧主体，与石城列岛、长山列岛等岛屿侧港口共同构成大连市陆岛港口交通运输体系。</w:t>
      </w:r>
      <w:r>
        <w:rPr>
          <w:rFonts w:hint="eastAsia" w:ascii="仿宋" w:hAnsi="仿宋"/>
          <w:sz w:val="24"/>
        </w:rPr>
        <w:t>建设现代化</w:t>
      </w:r>
      <w:r>
        <w:rPr>
          <w:rFonts w:ascii="仿宋" w:hAnsi="仿宋"/>
          <w:sz w:val="24"/>
        </w:rPr>
        <w:t>陆岛运输港</w:t>
      </w:r>
      <w:r>
        <w:rPr>
          <w:rFonts w:hint="eastAsia" w:ascii="仿宋" w:hAnsi="仿宋"/>
          <w:sz w:val="24"/>
        </w:rPr>
        <w:t>口，</w:t>
      </w:r>
      <w:r>
        <w:rPr>
          <w:rFonts w:ascii="仿宋" w:hAnsi="仿宋"/>
          <w:sz w:val="24"/>
        </w:rPr>
        <w:t>提升客货运输体系</w:t>
      </w:r>
      <w:r>
        <w:rPr>
          <w:rFonts w:hint="eastAsia" w:ascii="仿宋" w:hAnsi="仿宋"/>
          <w:sz w:val="24"/>
        </w:rPr>
        <w:t>，</w:t>
      </w:r>
      <w:r>
        <w:rPr>
          <w:rFonts w:ascii="仿宋" w:hAnsi="仿宋"/>
          <w:sz w:val="24"/>
        </w:rPr>
        <w:t>缓解陆岛运输压力，方便岛内居民交通，促进当地旅游业的快速发展，带动庄河腹地的经济快速发展，发挥港口物流区、冷库的配套设施作用，提升庄河港老码头综合服务能力，保证国际航线的开通</w:t>
      </w:r>
      <w:r>
        <w:rPr>
          <w:rFonts w:hint="eastAsia" w:ascii="仿宋" w:hAnsi="仿宋"/>
          <w:sz w:val="24"/>
        </w:rPr>
        <w:t>。</w:t>
      </w:r>
    </w:p>
    <w:p w14:paraId="58E3C72C">
      <w:pPr>
        <w:ind w:firstLine="482"/>
        <w:rPr>
          <w:rFonts w:ascii="仿宋" w:hAnsi="仿宋"/>
          <w:b/>
          <w:sz w:val="24"/>
        </w:rPr>
      </w:pPr>
      <w:r>
        <w:rPr>
          <w:rFonts w:ascii="仿宋" w:hAnsi="仿宋"/>
          <w:b/>
          <w:sz w:val="24"/>
        </w:rPr>
        <w:t>（</w:t>
      </w:r>
      <w:r>
        <w:rPr>
          <w:rFonts w:hint="eastAsia" w:ascii="仿宋" w:hAnsi="仿宋"/>
          <w:b/>
          <w:sz w:val="24"/>
        </w:rPr>
        <w:t>4</w:t>
      </w:r>
      <w:r>
        <w:rPr>
          <w:rFonts w:ascii="仿宋" w:hAnsi="仿宋"/>
          <w:b/>
          <w:sz w:val="24"/>
        </w:rPr>
        <w:t>）</w:t>
      </w:r>
      <w:r>
        <w:rPr>
          <w:rFonts w:hint="eastAsia" w:ascii="仿宋" w:hAnsi="仿宋"/>
          <w:b/>
          <w:sz w:val="24"/>
        </w:rPr>
        <w:t>物流产业园</w:t>
      </w:r>
    </w:p>
    <w:p w14:paraId="355CD5B3">
      <w:pPr>
        <w:ind w:firstLine="482"/>
        <w:rPr>
          <w:rFonts w:ascii="仿宋" w:hAnsi="仿宋"/>
          <w:sz w:val="24"/>
        </w:rPr>
      </w:pPr>
      <w:r>
        <w:rPr>
          <w:rFonts w:hint="eastAsia" w:ascii="仿宋" w:hAnsi="仿宋"/>
          <w:b/>
          <w:sz w:val="24"/>
        </w:rPr>
        <w:t>加快推进庄河港区物流产业园区以及配套设施规划建设，带动庄河市经济持续发展</w:t>
      </w:r>
      <w:r>
        <w:rPr>
          <w:rFonts w:hint="eastAsia" w:ascii="仿宋" w:hAnsi="仿宋"/>
          <w:sz w:val="24"/>
        </w:rPr>
        <w:t>。根据《庄河市城市发展总体规划和产业布局》，结合《大连港庄河港区总体规划》，依托庄河港建立进口木材和进口水产品储备、分拨、交易和结算中心，大力发展高端装备制造业、船舶及海洋工程装备制造业</w:t>
      </w:r>
      <w:r>
        <w:rPr>
          <w:rFonts w:hint="eastAsia" w:ascii="仿宋" w:hAnsi="仿宋"/>
          <w:sz w:val="24"/>
          <w:lang w:eastAsia="zh-CN"/>
        </w:rPr>
        <w:t>、以</w:t>
      </w:r>
      <w:r>
        <w:rPr>
          <w:rFonts w:hint="eastAsia" w:ascii="仿宋" w:hAnsi="仿宋"/>
          <w:sz w:val="24"/>
        </w:rPr>
        <w:t>及依托港口的现代化商贸物流产业，并积极向装备物流、食品物流、家居物流等领域拓展，形成具有较强集散能力和服务功能的区域性物流基地。</w:t>
      </w:r>
    </w:p>
    <w:p w14:paraId="457F1163">
      <w:pPr>
        <w:ind w:firstLine="482"/>
        <w:rPr>
          <w:rFonts w:ascii="仿宋" w:hAnsi="仿宋"/>
          <w:b/>
          <w:sz w:val="24"/>
        </w:rPr>
      </w:pPr>
      <w:r>
        <w:rPr>
          <w:rFonts w:ascii="仿宋" w:hAnsi="仿宋"/>
          <w:b/>
          <w:sz w:val="24"/>
        </w:rPr>
        <w:t>（5）冷链基地</w:t>
      </w:r>
    </w:p>
    <w:p w14:paraId="254C3D8B">
      <w:pPr>
        <w:ind w:firstLine="482"/>
        <w:rPr>
          <w:rFonts w:ascii="仿宋" w:hAnsi="仿宋"/>
          <w:sz w:val="24"/>
        </w:rPr>
      </w:pPr>
      <w:r>
        <w:rPr>
          <w:rFonts w:ascii="仿宋" w:hAnsi="仿宋"/>
          <w:b/>
          <w:sz w:val="24"/>
        </w:rPr>
        <w:t>加快推进庄河市冷链物流基地规划建设，整合全市冷链物流资源，打造国际冷链物流供应链平台</w:t>
      </w:r>
      <w:r>
        <w:rPr>
          <w:rFonts w:ascii="仿宋" w:hAnsi="仿宋"/>
          <w:sz w:val="24"/>
        </w:rPr>
        <w:t>。2020</w:t>
      </w:r>
      <w:r>
        <w:rPr>
          <w:rFonts w:hint="eastAsia" w:ascii="仿宋" w:hAnsi="仿宋"/>
          <w:sz w:val="24"/>
          <w:lang w:eastAsia="zh-CN"/>
        </w:rPr>
        <w:t>—2022年</w:t>
      </w:r>
      <w:r>
        <w:rPr>
          <w:rFonts w:ascii="仿宋" w:hAnsi="仿宋"/>
          <w:sz w:val="24"/>
        </w:rPr>
        <w:t>，庄河市将建设北黄海冷链物流基地建设项目，该冷链物流基地项目依托庄河港，主要用于冷链物流仓储，建设地点为：庄河市昌盛街道打拉腰村</w:t>
      </w:r>
      <w:r>
        <w:rPr>
          <w:rFonts w:hint="eastAsia" w:ascii="仿宋" w:hAnsi="仿宋"/>
          <w:sz w:val="24"/>
          <w:lang w:eastAsia="zh-CN"/>
        </w:rPr>
        <w:t>，</w:t>
      </w:r>
      <w:r>
        <w:rPr>
          <w:rFonts w:ascii="仿宋" w:hAnsi="仿宋"/>
          <w:sz w:val="24"/>
        </w:rPr>
        <w:t>建设面积为234.83亩，为4栋冷库及配套设施，总储存规模约26万吨，总投资10.7181亿元，庄河港冷链物流一期已建成并投入运营。</w:t>
      </w:r>
    </w:p>
    <w:p w14:paraId="67AD9A92">
      <w:pPr>
        <w:pStyle w:val="4"/>
        <w:spacing w:before="120" w:beforeLines="50" w:after="0" w:line="360" w:lineRule="auto"/>
        <w:ind w:firstLine="0" w:firstLineChars="0"/>
        <w:rPr>
          <w:rFonts w:ascii="Times New Roman" w:hAnsi="Times New Roman"/>
          <w:b w:val="0"/>
          <w:bCs/>
          <w:sz w:val="28"/>
          <w:szCs w:val="28"/>
        </w:rPr>
      </w:pPr>
      <w:bookmarkStart w:id="21" w:name="_Toc72258217"/>
      <w:r>
        <w:rPr>
          <w:rFonts w:hint="eastAsia" w:ascii="Times New Roman" w:hAnsi="Times New Roman"/>
          <w:b w:val="0"/>
          <w:bCs/>
          <w:sz w:val="28"/>
          <w:szCs w:val="28"/>
        </w:rPr>
        <w:t>（三）加强干线公路网建设，提高区域间通道联系</w:t>
      </w:r>
      <w:bookmarkEnd w:id="21"/>
    </w:p>
    <w:p w14:paraId="6E2033B8">
      <w:pPr>
        <w:ind w:firstLine="482"/>
        <w:rPr>
          <w:rFonts w:ascii="仿宋" w:hAnsi="仿宋"/>
          <w:b/>
          <w:sz w:val="24"/>
        </w:rPr>
      </w:pPr>
      <w:r>
        <w:rPr>
          <w:rFonts w:ascii="仿宋" w:hAnsi="仿宋"/>
          <w:b/>
          <w:sz w:val="24"/>
        </w:rPr>
        <w:t>1. 高速路网</w:t>
      </w:r>
    </w:p>
    <w:p w14:paraId="4BA9B367">
      <w:pPr>
        <w:ind w:firstLine="482"/>
        <w:rPr>
          <w:rFonts w:ascii="仿宋" w:hAnsi="仿宋"/>
          <w:sz w:val="24"/>
        </w:rPr>
      </w:pPr>
      <w:r>
        <w:rPr>
          <w:rFonts w:ascii="仿宋" w:hAnsi="仿宋"/>
          <w:b/>
          <w:sz w:val="24"/>
        </w:rPr>
        <w:t>规划建设庄河至岫岩至辽阳高速公路。</w:t>
      </w:r>
      <w:r>
        <w:rPr>
          <w:rFonts w:ascii="仿宋" w:hAnsi="仿宋"/>
          <w:sz w:val="24"/>
        </w:rPr>
        <w:t>直接打通岫岩东北部矿产资源腹地，改善岫岩矿产资源外运条件，使矿石资源产品得到充分开发。连接辽中环线高速公路（G91），实现北黄海区域与辽宁中部环沈阳区域联通，为庄河市经济的发展提</w:t>
      </w:r>
      <w:r>
        <w:rPr>
          <w:rFonts w:hint="eastAsia" w:ascii="仿宋" w:hAnsi="仿宋"/>
          <w:sz w:val="24"/>
          <w:lang w:eastAsia="zh-CN"/>
        </w:rPr>
        <w:t>供了</w:t>
      </w:r>
      <w:r>
        <w:rPr>
          <w:rFonts w:ascii="仿宋" w:hAnsi="仿宋"/>
          <w:sz w:val="24"/>
        </w:rPr>
        <w:t>有利的交通条件。庄岫辽高速公路初拟路径210公里，其中庄河市境内46公里，路基宽30米，路面宽22米，设计时速100公里，总投资约25亿元。</w:t>
      </w:r>
    </w:p>
    <w:p w14:paraId="2E622C54">
      <w:pPr>
        <w:ind w:firstLine="482"/>
        <w:rPr>
          <w:rFonts w:eastAsia="宋体"/>
          <w:sz w:val="24"/>
        </w:rPr>
      </w:pPr>
      <w:r>
        <w:rPr>
          <w:rFonts w:ascii="仿宋" w:hAnsi="仿宋"/>
          <w:b/>
          <w:sz w:val="24"/>
        </w:rPr>
        <w:t>规划建设永青高速公路。</w:t>
      </w:r>
      <w:r>
        <w:rPr>
          <w:rFonts w:ascii="仿宋" w:hAnsi="仿宋"/>
          <w:sz w:val="24"/>
        </w:rPr>
        <w:t>为庄河和瓦房店经济的共同发展提</w:t>
      </w:r>
      <w:r>
        <w:rPr>
          <w:rFonts w:hint="eastAsia" w:ascii="仿宋" w:hAnsi="仿宋"/>
          <w:sz w:val="24"/>
          <w:lang w:eastAsia="zh-CN"/>
        </w:rPr>
        <w:t>供了</w:t>
      </w:r>
      <w:r>
        <w:rPr>
          <w:rFonts w:ascii="仿宋" w:hAnsi="仿宋"/>
          <w:sz w:val="24"/>
        </w:rPr>
        <w:t>有利的交通条件，同时也为东北县域经济区域合作发展树立了典范，掀起县域经济新的合作潮流。为加快资源互补，统筹区域发展，促进人才、资金、创新要素高效流动和加速聚集提供坚实的交通运输保障。加快改善庄河市北部的交通条件，实现庄河境内高速公路的整体连网。永青高速公路初拟路径96公里，规划路基宽30米，路面宽22米，设计时速100公里，总投资约11.5亿元。</w:t>
      </w:r>
    </w:p>
    <w:p w14:paraId="06034C5F">
      <w:pPr>
        <w:ind w:firstLine="0" w:firstLineChars="0"/>
        <w:jc w:val="center"/>
        <w:rPr>
          <w:rFonts w:ascii="仿宋" w:hAnsi="仿宋"/>
          <w:bCs/>
          <w:sz w:val="21"/>
          <w:szCs w:val="21"/>
        </w:rPr>
      </w:pPr>
      <w:r>
        <w:rPr>
          <w:rFonts w:ascii="仿宋" w:hAnsi="仿宋"/>
          <w:bCs/>
          <w:sz w:val="21"/>
          <w:szCs w:val="21"/>
        </w:rPr>
        <w:t>表6  “两横两纵”高速公路网</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313"/>
        <w:gridCol w:w="2625"/>
        <w:gridCol w:w="1834"/>
        <w:gridCol w:w="1083"/>
        <w:gridCol w:w="803"/>
      </w:tblGrid>
      <w:tr w14:paraId="4305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280" w:type="pct"/>
            <w:gridSpan w:val="2"/>
            <w:vAlign w:val="center"/>
          </w:tcPr>
          <w:p w14:paraId="479584F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路线名称</w:t>
            </w:r>
          </w:p>
        </w:tc>
        <w:tc>
          <w:tcPr>
            <w:tcW w:w="1539" w:type="pct"/>
            <w:vAlign w:val="center"/>
          </w:tcPr>
          <w:p w14:paraId="4E1A06B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主要控制点</w:t>
            </w:r>
          </w:p>
        </w:tc>
        <w:tc>
          <w:tcPr>
            <w:tcW w:w="1075" w:type="pct"/>
            <w:vAlign w:val="center"/>
          </w:tcPr>
          <w:p w14:paraId="57815DC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通往方向</w:t>
            </w:r>
          </w:p>
        </w:tc>
        <w:tc>
          <w:tcPr>
            <w:tcW w:w="635" w:type="pct"/>
            <w:vAlign w:val="center"/>
          </w:tcPr>
          <w:p w14:paraId="18F82C7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长度（km）</w:t>
            </w:r>
          </w:p>
        </w:tc>
        <w:tc>
          <w:tcPr>
            <w:tcW w:w="472" w:type="pct"/>
            <w:vAlign w:val="center"/>
          </w:tcPr>
          <w:p w14:paraId="03CF4E9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备注</w:t>
            </w:r>
          </w:p>
        </w:tc>
      </w:tr>
      <w:tr w14:paraId="026C3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510" w:type="pct"/>
            <w:vAlign w:val="center"/>
          </w:tcPr>
          <w:p w14:paraId="4FFDB56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横线一</w:t>
            </w:r>
          </w:p>
        </w:tc>
        <w:tc>
          <w:tcPr>
            <w:tcW w:w="770" w:type="pct"/>
            <w:vAlign w:val="center"/>
          </w:tcPr>
          <w:p w14:paraId="53263D6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鹤大高速</w:t>
            </w:r>
          </w:p>
        </w:tc>
        <w:tc>
          <w:tcPr>
            <w:tcW w:w="1539" w:type="pct"/>
            <w:vAlign w:val="center"/>
          </w:tcPr>
          <w:p w14:paraId="7D0DE58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鹤岗市</w:t>
            </w:r>
            <w:r>
              <w:rPr>
                <w:rFonts w:hint="eastAsia" w:ascii="仿宋" w:hAnsi="仿宋"/>
                <w:color w:val="000000"/>
                <w:kern w:val="0"/>
                <w:sz w:val="21"/>
                <w:szCs w:val="21"/>
                <w:lang w:eastAsia="zh-CN"/>
              </w:rPr>
              <w:t>－</w:t>
            </w:r>
            <w:r>
              <w:rPr>
                <w:rFonts w:ascii="仿宋" w:hAnsi="仿宋"/>
                <w:color w:val="000000"/>
                <w:kern w:val="0"/>
                <w:sz w:val="21"/>
                <w:szCs w:val="21"/>
              </w:rPr>
              <w:t>庄河市</w:t>
            </w:r>
            <w:r>
              <w:rPr>
                <w:rFonts w:hint="eastAsia" w:ascii="仿宋" w:hAnsi="仿宋"/>
                <w:color w:val="000000"/>
                <w:kern w:val="0"/>
                <w:sz w:val="21"/>
                <w:szCs w:val="21"/>
                <w:lang w:eastAsia="zh-CN"/>
              </w:rPr>
              <w:t>－</w:t>
            </w:r>
            <w:r>
              <w:rPr>
                <w:rFonts w:ascii="仿宋" w:hAnsi="仿宋"/>
                <w:color w:val="000000"/>
                <w:kern w:val="0"/>
                <w:sz w:val="21"/>
                <w:szCs w:val="21"/>
              </w:rPr>
              <w:t>大连市</w:t>
            </w:r>
          </w:p>
        </w:tc>
        <w:tc>
          <w:tcPr>
            <w:tcW w:w="1075" w:type="pct"/>
            <w:vAlign w:val="center"/>
          </w:tcPr>
          <w:p w14:paraId="192BD28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大连市、鹤岗市</w:t>
            </w:r>
          </w:p>
        </w:tc>
        <w:tc>
          <w:tcPr>
            <w:tcW w:w="635" w:type="pct"/>
            <w:vAlign w:val="center"/>
          </w:tcPr>
          <w:p w14:paraId="41382E0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94</w:t>
            </w:r>
          </w:p>
        </w:tc>
        <w:tc>
          <w:tcPr>
            <w:tcW w:w="472" w:type="pct"/>
            <w:vAlign w:val="center"/>
          </w:tcPr>
          <w:p w14:paraId="234AAA1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已建</w:t>
            </w:r>
          </w:p>
        </w:tc>
      </w:tr>
      <w:tr w14:paraId="1CDA5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510" w:type="pct"/>
            <w:vAlign w:val="center"/>
          </w:tcPr>
          <w:p w14:paraId="0C5161D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横线二</w:t>
            </w:r>
          </w:p>
        </w:tc>
        <w:tc>
          <w:tcPr>
            <w:tcW w:w="770" w:type="pct"/>
            <w:vAlign w:val="center"/>
          </w:tcPr>
          <w:p w14:paraId="29222EA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永青高速</w:t>
            </w:r>
          </w:p>
        </w:tc>
        <w:tc>
          <w:tcPr>
            <w:tcW w:w="1539" w:type="pct"/>
            <w:vAlign w:val="center"/>
          </w:tcPr>
          <w:p w14:paraId="1F63743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r>
              <w:rPr>
                <w:rFonts w:hint="eastAsia" w:ascii="仿宋" w:hAnsi="仿宋"/>
                <w:color w:val="000000"/>
                <w:kern w:val="0"/>
                <w:sz w:val="21"/>
                <w:szCs w:val="21"/>
                <w:lang w:eastAsia="zh-CN"/>
              </w:rPr>
              <w:t>－</w:t>
            </w:r>
            <w:r>
              <w:rPr>
                <w:rFonts w:ascii="仿宋" w:hAnsi="仿宋"/>
                <w:color w:val="000000"/>
                <w:kern w:val="0"/>
                <w:sz w:val="21"/>
                <w:szCs w:val="21"/>
              </w:rPr>
              <w:t>瓦房店</w:t>
            </w:r>
          </w:p>
        </w:tc>
        <w:tc>
          <w:tcPr>
            <w:tcW w:w="1075" w:type="pct"/>
            <w:vAlign w:val="center"/>
          </w:tcPr>
          <w:p w14:paraId="456EA3E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庄河、瓦房店</w:t>
            </w:r>
          </w:p>
        </w:tc>
        <w:tc>
          <w:tcPr>
            <w:tcW w:w="635" w:type="pct"/>
            <w:vAlign w:val="center"/>
          </w:tcPr>
          <w:p w14:paraId="4093D54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96</w:t>
            </w:r>
          </w:p>
        </w:tc>
        <w:tc>
          <w:tcPr>
            <w:tcW w:w="472" w:type="pct"/>
            <w:vAlign w:val="center"/>
          </w:tcPr>
          <w:p w14:paraId="02694DC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新增</w:t>
            </w:r>
          </w:p>
        </w:tc>
      </w:tr>
      <w:tr w14:paraId="11C80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510" w:type="pct"/>
            <w:vAlign w:val="center"/>
          </w:tcPr>
          <w:p w14:paraId="7F82656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纵线一</w:t>
            </w:r>
          </w:p>
        </w:tc>
        <w:tc>
          <w:tcPr>
            <w:tcW w:w="770" w:type="pct"/>
            <w:vAlign w:val="center"/>
          </w:tcPr>
          <w:p w14:paraId="4879A3D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庄盖高速</w:t>
            </w:r>
          </w:p>
        </w:tc>
        <w:tc>
          <w:tcPr>
            <w:tcW w:w="1539" w:type="pct"/>
            <w:vAlign w:val="center"/>
          </w:tcPr>
          <w:p w14:paraId="7D8E832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r>
              <w:rPr>
                <w:rFonts w:hint="eastAsia" w:ascii="仿宋" w:hAnsi="仿宋"/>
                <w:color w:val="000000"/>
                <w:kern w:val="0"/>
                <w:sz w:val="21"/>
                <w:szCs w:val="21"/>
                <w:lang w:eastAsia="zh-CN"/>
              </w:rPr>
              <w:t>－</w:t>
            </w:r>
            <w:r>
              <w:rPr>
                <w:rFonts w:ascii="仿宋" w:hAnsi="仿宋"/>
                <w:color w:val="000000"/>
                <w:kern w:val="0"/>
                <w:sz w:val="21"/>
                <w:szCs w:val="21"/>
              </w:rPr>
              <w:t>光明山镇</w:t>
            </w:r>
            <w:r>
              <w:rPr>
                <w:rFonts w:hint="eastAsia" w:ascii="仿宋" w:hAnsi="仿宋"/>
                <w:color w:val="000000"/>
                <w:kern w:val="0"/>
                <w:sz w:val="21"/>
                <w:szCs w:val="21"/>
                <w:lang w:eastAsia="zh-CN"/>
              </w:rPr>
              <w:t>－</w:t>
            </w:r>
            <w:r>
              <w:rPr>
                <w:rFonts w:ascii="仿宋" w:hAnsi="仿宋"/>
                <w:color w:val="000000"/>
                <w:kern w:val="0"/>
                <w:sz w:val="21"/>
                <w:szCs w:val="21"/>
              </w:rPr>
              <w:t>步云山乡</w:t>
            </w:r>
            <w:r>
              <w:rPr>
                <w:rFonts w:hint="eastAsia" w:ascii="仿宋" w:hAnsi="仿宋"/>
                <w:color w:val="000000"/>
                <w:kern w:val="0"/>
                <w:sz w:val="21"/>
                <w:szCs w:val="21"/>
                <w:lang w:eastAsia="zh-CN"/>
              </w:rPr>
              <w:t>－</w:t>
            </w:r>
            <w:r>
              <w:rPr>
                <w:rFonts w:ascii="仿宋" w:hAnsi="仿宋"/>
                <w:color w:val="000000"/>
                <w:kern w:val="0"/>
                <w:sz w:val="21"/>
                <w:szCs w:val="21"/>
              </w:rPr>
              <w:t>桂云花乡</w:t>
            </w:r>
            <w:r>
              <w:rPr>
                <w:rFonts w:hint="eastAsia" w:ascii="仿宋" w:hAnsi="仿宋"/>
                <w:color w:val="000000"/>
                <w:kern w:val="0"/>
                <w:sz w:val="21"/>
                <w:szCs w:val="21"/>
                <w:lang w:eastAsia="zh-CN"/>
              </w:rPr>
              <w:t>－</w:t>
            </w:r>
            <w:r>
              <w:rPr>
                <w:rFonts w:ascii="仿宋" w:hAnsi="仿宋"/>
                <w:color w:val="000000"/>
                <w:kern w:val="0"/>
                <w:sz w:val="21"/>
                <w:szCs w:val="21"/>
              </w:rPr>
              <w:t>盖州</w:t>
            </w:r>
          </w:p>
        </w:tc>
        <w:tc>
          <w:tcPr>
            <w:tcW w:w="1075" w:type="pct"/>
            <w:vAlign w:val="center"/>
          </w:tcPr>
          <w:p w14:paraId="5F49930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盖州市、营口市</w:t>
            </w:r>
          </w:p>
        </w:tc>
        <w:tc>
          <w:tcPr>
            <w:tcW w:w="635" w:type="pct"/>
            <w:vAlign w:val="center"/>
          </w:tcPr>
          <w:p w14:paraId="24997DA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 xml:space="preserve">50 </w:t>
            </w:r>
          </w:p>
        </w:tc>
        <w:tc>
          <w:tcPr>
            <w:tcW w:w="472" w:type="pct"/>
            <w:vAlign w:val="center"/>
          </w:tcPr>
          <w:p w14:paraId="2F7760C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已建</w:t>
            </w:r>
          </w:p>
        </w:tc>
      </w:tr>
      <w:tr w14:paraId="121C3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510" w:type="pct"/>
            <w:vAlign w:val="center"/>
          </w:tcPr>
          <w:p w14:paraId="4316DC7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纵线二</w:t>
            </w:r>
          </w:p>
        </w:tc>
        <w:tc>
          <w:tcPr>
            <w:tcW w:w="770" w:type="pct"/>
            <w:vAlign w:val="center"/>
          </w:tcPr>
          <w:p w14:paraId="5F13DED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庄岫辽高速</w:t>
            </w:r>
          </w:p>
        </w:tc>
        <w:tc>
          <w:tcPr>
            <w:tcW w:w="1539" w:type="pct"/>
            <w:vAlign w:val="center"/>
          </w:tcPr>
          <w:p w14:paraId="1859181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r>
              <w:rPr>
                <w:rFonts w:hint="eastAsia" w:ascii="仿宋" w:hAnsi="仿宋"/>
                <w:color w:val="000000"/>
                <w:kern w:val="0"/>
                <w:sz w:val="21"/>
                <w:szCs w:val="21"/>
                <w:lang w:eastAsia="zh-CN"/>
              </w:rPr>
              <w:t>－</w:t>
            </w:r>
            <w:r>
              <w:rPr>
                <w:rFonts w:ascii="仿宋" w:hAnsi="仿宋"/>
                <w:color w:val="000000"/>
                <w:kern w:val="0"/>
                <w:sz w:val="21"/>
                <w:szCs w:val="21"/>
              </w:rPr>
              <w:t>岫岩</w:t>
            </w:r>
            <w:r>
              <w:rPr>
                <w:rFonts w:hint="eastAsia" w:ascii="仿宋" w:hAnsi="仿宋"/>
                <w:color w:val="000000"/>
                <w:kern w:val="0"/>
                <w:sz w:val="21"/>
                <w:szCs w:val="21"/>
                <w:lang w:eastAsia="zh-CN"/>
              </w:rPr>
              <w:t>－</w:t>
            </w:r>
            <w:r>
              <w:rPr>
                <w:rFonts w:ascii="仿宋" w:hAnsi="仿宋"/>
                <w:color w:val="000000"/>
                <w:kern w:val="0"/>
                <w:sz w:val="21"/>
                <w:szCs w:val="21"/>
              </w:rPr>
              <w:t>辽阳</w:t>
            </w:r>
          </w:p>
        </w:tc>
        <w:tc>
          <w:tcPr>
            <w:tcW w:w="1075" w:type="pct"/>
            <w:vAlign w:val="center"/>
          </w:tcPr>
          <w:p w14:paraId="2CFD8AAA">
            <w:pPr>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lang w:eastAsia="zh-CN"/>
              </w:rPr>
              <w:t>岫岩满族自治县</w:t>
            </w:r>
            <w:r>
              <w:rPr>
                <w:rFonts w:ascii="仿宋" w:hAnsi="仿宋"/>
                <w:color w:val="000000"/>
                <w:kern w:val="0"/>
                <w:sz w:val="21"/>
                <w:szCs w:val="21"/>
              </w:rPr>
              <w:t>、辽阳市</w:t>
            </w:r>
          </w:p>
        </w:tc>
        <w:tc>
          <w:tcPr>
            <w:tcW w:w="635" w:type="pct"/>
            <w:vAlign w:val="center"/>
          </w:tcPr>
          <w:p w14:paraId="15BD559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210</w:t>
            </w:r>
          </w:p>
        </w:tc>
        <w:tc>
          <w:tcPr>
            <w:tcW w:w="472" w:type="pct"/>
            <w:vAlign w:val="center"/>
          </w:tcPr>
          <w:p w14:paraId="1B89D77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新增</w:t>
            </w:r>
          </w:p>
        </w:tc>
      </w:tr>
    </w:tbl>
    <w:p w14:paraId="39BF2F2E">
      <w:pPr>
        <w:widowControl/>
        <w:spacing w:line="300" w:lineRule="auto"/>
        <w:ind w:firstLine="0" w:firstLineChars="0"/>
        <w:jc w:val="center"/>
        <w:rPr>
          <w:rFonts w:eastAsia="宋体"/>
          <w:color w:val="FF0000"/>
          <w:sz w:val="24"/>
        </w:rPr>
      </w:pPr>
    </w:p>
    <w:p w14:paraId="63AAA50C">
      <w:pPr>
        <w:ind w:firstLine="560"/>
        <w:jc w:val="center"/>
      </w:pPr>
      <w:r>
        <w:drawing>
          <wp:inline distT="0" distB="0" distL="0" distR="0">
            <wp:extent cx="5278120" cy="448119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78120" cy="4481195"/>
                    </a:xfrm>
                    <a:prstGeom prst="rect">
                      <a:avLst/>
                    </a:prstGeom>
                  </pic:spPr>
                </pic:pic>
              </a:graphicData>
            </a:graphic>
          </wp:inline>
        </w:drawing>
      </w:r>
    </w:p>
    <w:p w14:paraId="248A969A">
      <w:pPr>
        <w:widowControl/>
        <w:ind w:firstLine="0" w:firstLineChars="0"/>
        <w:jc w:val="center"/>
        <w:rPr>
          <w:rFonts w:ascii="仿宋" w:hAnsi="仿宋"/>
          <w:bCs/>
          <w:sz w:val="21"/>
          <w:szCs w:val="20"/>
        </w:rPr>
      </w:pPr>
      <w:r>
        <w:rPr>
          <w:rFonts w:ascii="仿宋" w:hAnsi="仿宋"/>
          <w:bCs/>
          <w:sz w:val="21"/>
          <w:szCs w:val="20"/>
        </w:rPr>
        <w:t>图9 庄河市高速公路网布局图</w:t>
      </w:r>
    </w:p>
    <w:p w14:paraId="0A70BFAA">
      <w:pPr>
        <w:ind w:firstLine="482"/>
        <w:rPr>
          <w:rFonts w:ascii="仿宋" w:hAnsi="仿宋"/>
          <w:b/>
          <w:sz w:val="24"/>
        </w:rPr>
      </w:pPr>
      <w:r>
        <w:rPr>
          <w:rFonts w:ascii="仿宋" w:hAnsi="仿宋"/>
          <w:b/>
          <w:sz w:val="24"/>
        </w:rPr>
        <w:t>2. 区域干线布局</w:t>
      </w:r>
    </w:p>
    <w:p w14:paraId="44B1BF05">
      <w:pPr>
        <w:ind w:firstLine="482"/>
        <w:rPr>
          <w:rFonts w:ascii="仿宋" w:hAnsi="仿宋"/>
          <w:b/>
          <w:sz w:val="24"/>
        </w:rPr>
      </w:pPr>
      <w:r>
        <w:rPr>
          <w:rFonts w:ascii="仿宋" w:hAnsi="仿宋"/>
          <w:b/>
          <w:sz w:val="24"/>
        </w:rPr>
        <w:t>（1）国家级公路建设</w:t>
      </w:r>
    </w:p>
    <w:p w14:paraId="41C837ED">
      <w:pPr>
        <w:ind w:firstLine="482"/>
        <w:rPr>
          <w:rFonts w:ascii="仿宋" w:hAnsi="仿宋"/>
          <w:sz w:val="24"/>
        </w:rPr>
      </w:pPr>
      <w:r>
        <w:rPr>
          <w:rFonts w:ascii="仿宋" w:hAnsi="仿宋"/>
          <w:b/>
          <w:sz w:val="24"/>
        </w:rPr>
        <w:t>国道G201鹤大线大中修改造，有效改善公路通行条件和安全性。</w:t>
      </w:r>
      <w:r>
        <w:rPr>
          <w:rFonts w:ascii="仿宋" w:hAnsi="仿宋"/>
          <w:sz w:val="24"/>
        </w:rPr>
        <w:t>国道G201鹤大线栗子房至湖里河、湖里河至小沟段全长33.005公里，其中一级公路5.482公里，二级公路27.523公里，计划于“十四五”期间进行大中修改造，工程总</w:t>
      </w:r>
      <w:r>
        <w:rPr>
          <w:rFonts w:hint="eastAsia" w:ascii="仿宋" w:hAnsi="仿宋"/>
          <w:sz w:val="24"/>
          <w:lang w:eastAsia="zh-CN"/>
        </w:rPr>
        <w:t>资金</w:t>
      </w:r>
      <w:r>
        <w:rPr>
          <w:rFonts w:ascii="仿宋" w:hAnsi="仿宋"/>
          <w:sz w:val="24"/>
        </w:rPr>
        <w:t>约0.82亿元。</w:t>
      </w:r>
    </w:p>
    <w:p w14:paraId="430B6077">
      <w:pPr>
        <w:ind w:firstLine="482"/>
        <w:rPr>
          <w:rFonts w:ascii="仿宋" w:hAnsi="仿宋"/>
          <w:sz w:val="24"/>
        </w:rPr>
      </w:pPr>
      <w:r>
        <w:rPr>
          <w:rFonts w:ascii="仿宋" w:hAnsi="仿宋"/>
          <w:b/>
          <w:sz w:val="24"/>
        </w:rPr>
        <w:t>国道G305庄林线大中修改造，促进沿线经济发展。</w:t>
      </w:r>
      <w:r>
        <w:rPr>
          <w:rFonts w:ascii="仿宋" w:hAnsi="仿宋"/>
          <w:sz w:val="24"/>
        </w:rPr>
        <w:t>国道G305庄林线冯屯至同巨、同巨至小滴台段全长60.404公里，其中一级公路2.071公里，二级公路58.333公里，计划于“十四五”期间进行大中修改造，工程总</w:t>
      </w:r>
      <w:r>
        <w:rPr>
          <w:rFonts w:hint="eastAsia" w:ascii="仿宋" w:hAnsi="仿宋"/>
          <w:sz w:val="24"/>
          <w:lang w:eastAsia="zh-CN"/>
        </w:rPr>
        <w:t>资金</w:t>
      </w:r>
      <w:r>
        <w:rPr>
          <w:rFonts w:ascii="仿宋" w:hAnsi="仿宋"/>
          <w:sz w:val="24"/>
        </w:rPr>
        <w:t>约1.27亿元。</w:t>
      </w:r>
    </w:p>
    <w:p w14:paraId="2B45AB00">
      <w:pPr>
        <w:ind w:firstLine="482"/>
        <w:rPr>
          <w:rFonts w:ascii="仿宋" w:hAnsi="仿宋"/>
          <w:b/>
          <w:sz w:val="24"/>
        </w:rPr>
      </w:pPr>
      <w:r>
        <w:rPr>
          <w:rFonts w:ascii="仿宋" w:hAnsi="仿宋"/>
          <w:b/>
          <w:sz w:val="24"/>
        </w:rPr>
        <w:t>（2）省级公路建设</w:t>
      </w:r>
    </w:p>
    <w:p w14:paraId="51B027ED">
      <w:pPr>
        <w:ind w:firstLine="482"/>
        <w:rPr>
          <w:rFonts w:ascii="仿宋" w:hAnsi="仿宋"/>
          <w:sz w:val="24"/>
        </w:rPr>
      </w:pPr>
      <w:r>
        <w:rPr>
          <w:rFonts w:ascii="仿宋" w:hAnsi="仿宋"/>
          <w:b/>
          <w:sz w:val="24"/>
        </w:rPr>
        <w:t>改扩建省道S314丹交线，完善庄河市公路交通网络，极大改善公路通行条件，为沿线经济快速发展提供助力</w:t>
      </w:r>
      <w:r>
        <w:rPr>
          <w:rFonts w:ascii="仿宋" w:hAnsi="仿宋"/>
          <w:sz w:val="24"/>
        </w:rPr>
        <w:t>。省道S314丹交线小皮铺至秦家、金山村出口至栗石线等8个路段全长共76.816公里，计划于“十四五”期间逐步进行建设，其中：改扩建路段35.816公里、新建路段41公里，拟建公路技术等级均为二级，工程投资约9.02亿元。</w:t>
      </w:r>
    </w:p>
    <w:p w14:paraId="7F92C971">
      <w:pPr>
        <w:ind w:firstLine="482"/>
        <w:rPr>
          <w:rFonts w:ascii="仿宋" w:hAnsi="仿宋"/>
          <w:sz w:val="24"/>
        </w:rPr>
      </w:pPr>
      <w:r>
        <w:rPr>
          <w:rFonts w:ascii="仿宋" w:hAnsi="仿宋"/>
          <w:b/>
          <w:sz w:val="24"/>
        </w:rPr>
        <w:t>改扩建省道S315塔营线，有效提高大河沿至猫耳岭段路面通行条件，消除塔营线通行</w:t>
      </w:r>
      <w:r>
        <w:rPr>
          <w:rFonts w:hint="eastAsia" w:ascii="仿宋" w:hAnsi="仿宋"/>
          <w:b/>
          <w:sz w:val="24"/>
          <w:lang w:eastAsia="zh-CN"/>
        </w:rPr>
        <w:t>瓶颈</w:t>
      </w:r>
      <w:r>
        <w:rPr>
          <w:rFonts w:ascii="仿宋" w:hAnsi="仿宋"/>
          <w:b/>
          <w:sz w:val="24"/>
        </w:rPr>
        <w:t>，为沿线经济快速发展提供助力</w:t>
      </w:r>
      <w:r>
        <w:rPr>
          <w:rFonts w:ascii="仿宋" w:hAnsi="仿宋"/>
          <w:sz w:val="24"/>
        </w:rPr>
        <w:t>。省道S315塔营线大河沿至猫耳岭段全长4.944公里，原路为四级公路，拟将其改扩建为二级公路，工程投资约0.4亿元。</w:t>
      </w:r>
    </w:p>
    <w:p w14:paraId="2ECA1EA0">
      <w:pPr>
        <w:ind w:firstLine="482"/>
        <w:rPr>
          <w:rFonts w:ascii="仿宋" w:hAnsi="仿宋"/>
          <w:sz w:val="24"/>
        </w:rPr>
      </w:pPr>
      <w:r>
        <w:rPr>
          <w:rFonts w:ascii="仿宋" w:hAnsi="仿宋"/>
          <w:b/>
          <w:sz w:val="24"/>
        </w:rPr>
        <w:t>省道S316青永线大中修改造，有效提高上述路段路面通行条件和安全性，使客货运输更加快捷，对沿线经济快速发展有极大促进作用</w:t>
      </w:r>
      <w:r>
        <w:rPr>
          <w:rFonts w:ascii="仿宋" w:hAnsi="仿宋"/>
          <w:sz w:val="24"/>
        </w:rPr>
        <w:t>。省道S316青永线青堆至青堆、青堆至四家子段全长29.929公里，均为二级公路，拟于“十四五”期间进行大中修改造，工程投资约为0.6亿元。</w:t>
      </w:r>
    </w:p>
    <w:p w14:paraId="28FB7EAA">
      <w:pPr>
        <w:ind w:firstLine="0" w:firstLineChars="0"/>
        <w:jc w:val="center"/>
        <w:rPr>
          <w:rFonts w:ascii="仿宋" w:hAnsi="仿宋"/>
          <w:bCs/>
          <w:sz w:val="21"/>
          <w:szCs w:val="21"/>
        </w:rPr>
      </w:pPr>
      <w:r>
        <w:rPr>
          <w:rFonts w:ascii="仿宋" w:hAnsi="仿宋"/>
          <w:bCs/>
          <w:sz w:val="21"/>
          <w:szCs w:val="21"/>
        </w:rPr>
        <w:t>表7  “四横三纵”区域干线骨架</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1674"/>
        <w:gridCol w:w="3443"/>
        <w:gridCol w:w="1588"/>
        <w:gridCol w:w="662"/>
        <w:gridCol w:w="722"/>
      </w:tblGrid>
      <w:tr w14:paraId="0E79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8" w:type="pct"/>
            <w:vAlign w:val="center"/>
          </w:tcPr>
          <w:p w14:paraId="53371A7F">
            <w:pPr>
              <w:widowControl/>
              <w:spacing w:line="240" w:lineRule="auto"/>
              <w:ind w:firstLine="0" w:firstLineChars="0"/>
              <w:jc w:val="center"/>
              <w:rPr>
                <w:rFonts w:ascii="仿宋" w:hAnsi="仿宋"/>
                <w:kern w:val="0"/>
                <w:sz w:val="21"/>
                <w:szCs w:val="21"/>
              </w:rPr>
            </w:pPr>
          </w:p>
        </w:tc>
        <w:tc>
          <w:tcPr>
            <w:tcW w:w="981" w:type="pct"/>
            <w:vAlign w:val="center"/>
          </w:tcPr>
          <w:p w14:paraId="040052B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路线名称</w:t>
            </w:r>
          </w:p>
        </w:tc>
        <w:tc>
          <w:tcPr>
            <w:tcW w:w="2018" w:type="pct"/>
            <w:vAlign w:val="center"/>
          </w:tcPr>
          <w:p w14:paraId="1B7191B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主要控制点</w:t>
            </w:r>
          </w:p>
        </w:tc>
        <w:tc>
          <w:tcPr>
            <w:tcW w:w="931" w:type="pct"/>
            <w:vAlign w:val="center"/>
          </w:tcPr>
          <w:p w14:paraId="6EEF060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通往方向</w:t>
            </w:r>
          </w:p>
        </w:tc>
        <w:tc>
          <w:tcPr>
            <w:tcW w:w="388" w:type="pct"/>
            <w:vAlign w:val="center"/>
          </w:tcPr>
          <w:p w14:paraId="62C6DC0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长度</w:t>
            </w:r>
          </w:p>
        </w:tc>
        <w:tc>
          <w:tcPr>
            <w:tcW w:w="423" w:type="pct"/>
            <w:vAlign w:val="center"/>
          </w:tcPr>
          <w:p w14:paraId="01F4269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备注</w:t>
            </w:r>
          </w:p>
        </w:tc>
      </w:tr>
      <w:tr w14:paraId="351AC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58" w:type="pct"/>
            <w:vMerge w:val="restart"/>
            <w:vAlign w:val="center"/>
          </w:tcPr>
          <w:p w14:paraId="6EDE02ED">
            <w:pPr>
              <w:widowControl/>
              <w:spacing w:line="240" w:lineRule="auto"/>
              <w:ind w:firstLine="0" w:firstLineChars="0"/>
              <w:jc w:val="center"/>
              <w:rPr>
                <w:rFonts w:ascii="仿宋" w:hAnsi="仿宋"/>
                <w:kern w:val="0"/>
                <w:sz w:val="21"/>
                <w:szCs w:val="21"/>
              </w:rPr>
            </w:pPr>
            <w:r>
              <w:rPr>
                <w:rFonts w:ascii="仿宋" w:hAnsi="仿宋"/>
                <w:kern w:val="0"/>
                <w:sz w:val="21"/>
                <w:szCs w:val="21"/>
              </w:rPr>
              <w:t>四横</w:t>
            </w:r>
          </w:p>
        </w:tc>
        <w:tc>
          <w:tcPr>
            <w:tcW w:w="981" w:type="pct"/>
            <w:vAlign w:val="center"/>
          </w:tcPr>
          <w:p w14:paraId="562322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鹤大线（G201）</w:t>
            </w:r>
          </w:p>
        </w:tc>
        <w:tc>
          <w:tcPr>
            <w:tcW w:w="2018" w:type="pct"/>
            <w:vAlign w:val="center"/>
          </w:tcPr>
          <w:p w14:paraId="1CEC91D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花园口-光明山镇-庄河-栗子房</w:t>
            </w:r>
          </w:p>
        </w:tc>
        <w:tc>
          <w:tcPr>
            <w:tcW w:w="931" w:type="pct"/>
            <w:vAlign w:val="center"/>
          </w:tcPr>
          <w:p w14:paraId="3AA350E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普兰店、丹东市</w:t>
            </w:r>
          </w:p>
        </w:tc>
        <w:tc>
          <w:tcPr>
            <w:tcW w:w="388" w:type="pct"/>
            <w:vAlign w:val="center"/>
          </w:tcPr>
          <w:p w14:paraId="26627991">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74.9</w:t>
            </w:r>
          </w:p>
        </w:tc>
        <w:tc>
          <w:tcPr>
            <w:tcW w:w="423" w:type="pct"/>
            <w:vAlign w:val="center"/>
          </w:tcPr>
          <w:p w14:paraId="2ADE8180">
            <w:pPr>
              <w:spacing w:line="240" w:lineRule="auto"/>
              <w:ind w:firstLine="0" w:firstLineChars="0"/>
              <w:jc w:val="center"/>
              <w:rPr>
                <w:rFonts w:ascii="仿宋" w:hAnsi="仿宋"/>
                <w:color w:val="000000"/>
                <w:sz w:val="21"/>
                <w:szCs w:val="21"/>
              </w:rPr>
            </w:pPr>
            <w:r>
              <w:rPr>
                <w:rFonts w:ascii="仿宋" w:hAnsi="仿宋"/>
                <w:color w:val="000000"/>
                <w:kern w:val="0"/>
                <w:sz w:val="21"/>
                <w:szCs w:val="21"/>
              </w:rPr>
              <w:t>改建</w:t>
            </w:r>
          </w:p>
        </w:tc>
      </w:tr>
      <w:tr w14:paraId="44169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8" w:type="pct"/>
            <w:vMerge w:val="continue"/>
            <w:vAlign w:val="center"/>
          </w:tcPr>
          <w:p w14:paraId="6022B736">
            <w:pPr>
              <w:widowControl/>
              <w:spacing w:line="240" w:lineRule="auto"/>
              <w:ind w:firstLine="0" w:firstLineChars="0"/>
              <w:jc w:val="center"/>
              <w:rPr>
                <w:rFonts w:ascii="仿宋" w:hAnsi="仿宋"/>
                <w:kern w:val="0"/>
                <w:sz w:val="21"/>
                <w:szCs w:val="21"/>
              </w:rPr>
            </w:pPr>
          </w:p>
        </w:tc>
        <w:tc>
          <w:tcPr>
            <w:tcW w:w="981" w:type="pct"/>
            <w:vAlign w:val="center"/>
          </w:tcPr>
          <w:p w14:paraId="2EDB857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丹东线（G228）</w:t>
            </w:r>
          </w:p>
        </w:tc>
        <w:tc>
          <w:tcPr>
            <w:tcW w:w="2018" w:type="pct"/>
            <w:vAlign w:val="center"/>
          </w:tcPr>
          <w:p w14:paraId="369CAAF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大郑新城-庄河-吴炉-栗子房</w:t>
            </w:r>
          </w:p>
        </w:tc>
        <w:tc>
          <w:tcPr>
            <w:tcW w:w="931" w:type="pct"/>
            <w:vAlign w:val="center"/>
          </w:tcPr>
          <w:p w14:paraId="33583D3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大连市、丹东市</w:t>
            </w:r>
          </w:p>
        </w:tc>
        <w:tc>
          <w:tcPr>
            <w:tcW w:w="388" w:type="pct"/>
            <w:vAlign w:val="center"/>
          </w:tcPr>
          <w:p w14:paraId="5B31659C">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99.6</w:t>
            </w:r>
          </w:p>
        </w:tc>
        <w:tc>
          <w:tcPr>
            <w:tcW w:w="423" w:type="pct"/>
            <w:vAlign w:val="center"/>
          </w:tcPr>
          <w:p w14:paraId="1113EA7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已建</w:t>
            </w:r>
          </w:p>
        </w:tc>
      </w:tr>
      <w:tr w14:paraId="62BED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58" w:type="pct"/>
            <w:vMerge w:val="continue"/>
            <w:vAlign w:val="center"/>
          </w:tcPr>
          <w:p w14:paraId="313B6343">
            <w:pPr>
              <w:widowControl/>
              <w:spacing w:line="240" w:lineRule="auto"/>
              <w:ind w:firstLine="0" w:firstLineChars="0"/>
              <w:jc w:val="center"/>
              <w:rPr>
                <w:rFonts w:ascii="仿宋" w:hAnsi="仿宋"/>
                <w:kern w:val="0"/>
                <w:sz w:val="21"/>
                <w:szCs w:val="21"/>
              </w:rPr>
            </w:pPr>
          </w:p>
        </w:tc>
        <w:tc>
          <w:tcPr>
            <w:tcW w:w="981" w:type="pct"/>
            <w:vAlign w:val="center"/>
          </w:tcPr>
          <w:p w14:paraId="4E5BCA5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丹交线（S314）</w:t>
            </w:r>
          </w:p>
        </w:tc>
        <w:tc>
          <w:tcPr>
            <w:tcW w:w="2018" w:type="pct"/>
            <w:vAlign w:val="center"/>
          </w:tcPr>
          <w:p w14:paraId="326D827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鞍子山</w:t>
            </w:r>
            <w:r>
              <w:rPr>
                <w:rFonts w:hint="eastAsia" w:ascii="仿宋" w:hAnsi="仿宋"/>
                <w:color w:val="000000"/>
                <w:kern w:val="0"/>
                <w:sz w:val="21"/>
                <w:szCs w:val="21"/>
                <w:lang w:eastAsia="zh-CN"/>
              </w:rPr>
              <w:t>－</w:t>
            </w:r>
            <w:r>
              <w:rPr>
                <w:rFonts w:ascii="仿宋" w:hAnsi="仿宋"/>
                <w:color w:val="000000"/>
                <w:kern w:val="0"/>
                <w:sz w:val="21"/>
                <w:szCs w:val="21"/>
              </w:rPr>
              <w:t>青堆-大营</w:t>
            </w:r>
            <w:r>
              <w:rPr>
                <w:rFonts w:hint="eastAsia" w:ascii="仿宋" w:hAnsi="仿宋"/>
                <w:color w:val="000000"/>
                <w:kern w:val="0"/>
                <w:sz w:val="21"/>
                <w:szCs w:val="21"/>
                <w:lang w:eastAsia="zh-CN"/>
              </w:rPr>
              <w:t>－</w:t>
            </w:r>
            <w:r>
              <w:rPr>
                <w:rFonts w:ascii="仿宋" w:hAnsi="仿宋"/>
                <w:color w:val="000000"/>
                <w:kern w:val="0"/>
                <w:sz w:val="21"/>
                <w:szCs w:val="21"/>
              </w:rPr>
              <w:t>太平岭</w:t>
            </w:r>
            <w:r>
              <w:rPr>
                <w:rFonts w:hint="eastAsia" w:ascii="仿宋" w:hAnsi="仿宋"/>
                <w:color w:val="000000"/>
                <w:kern w:val="0"/>
                <w:sz w:val="21"/>
                <w:szCs w:val="21"/>
                <w:lang w:eastAsia="zh-CN"/>
              </w:rPr>
              <w:t>－</w:t>
            </w:r>
            <w:r>
              <w:rPr>
                <w:rFonts w:ascii="仿宋" w:hAnsi="仿宋"/>
                <w:color w:val="000000"/>
                <w:kern w:val="0"/>
                <w:sz w:val="21"/>
                <w:szCs w:val="21"/>
              </w:rPr>
              <w:t>城山镇</w:t>
            </w:r>
          </w:p>
        </w:tc>
        <w:tc>
          <w:tcPr>
            <w:tcW w:w="931" w:type="pct"/>
            <w:vAlign w:val="center"/>
          </w:tcPr>
          <w:p w14:paraId="2E33889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丹东市、交流岛</w:t>
            </w:r>
          </w:p>
        </w:tc>
        <w:tc>
          <w:tcPr>
            <w:tcW w:w="388" w:type="pct"/>
            <w:vAlign w:val="center"/>
          </w:tcPr>
          <w:p w14:paraId="0A0BF5E1">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68.9</w:t>
            </w:r>
          </w:p>
        </w:tc>
        <w:tc>
          <w:tcPr>
            <w:tcW w:w="423" w:type="pct"/>
            <w:vAlign w:val="center"/>
          </w:tcPr>
          <w:p w14:paraId="07E4773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改建</w:t>
            </w:r>
          </w:p>
        </w:tc>
      </w:tr>
      <w:tr w14:paraId="6578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258" w:type="pct"/>
            <w:vMerge w:val="continue"/>
            <w:vAlign w:val="center"/>
          </w:tcPr>
          <w:p w14:paraId="4E89ECFC">
            <w:pPr>
              <w:widowControl/>
              <w:spacing w:line="240" w:lineRule="auto"/>
              <w:ind w:firstLine="0" w:firstLineChars="0"/>
              <w:jc w:val="center"/>
              <w:rPr>
                <w:rFonts w:ascii="仿宋" w:hAnsi="仿宋"/>
                <w:kern w:val="0"/>
                <w:sz w:val="21"/>
                <w:szCs w:val="21"/>
              </w:rPr>
            </w:pPr>
          </w:p>
        </w:tc>
        <w:tc>
          <w:tcPr>
            <w:tcW w:w="981" w:type="pct"/>
            <w:vAlign w:val="center"/>
          </w:tcPr>
          <w:p w14:paraId="1C555E7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永青线</w:t>
            </w:r>
            <w:r>
              <w:rPr>
                <w:rFonts w:hint="eastAsia" w:ascii="仿宋" w:hAnsi="仿宋"/>
                <w:color w:val="000000"/>
                <w:kern w:val="0"/>
                <w:sz w:val="21"/>
                <w:szCs w:val="21"/>
                <w:lang w:eastAsia="zh-CN"/>
              </w:rPr>
              <w:t>（</w:t>
            </w:r>
            <w:r>
              <w:rPr>
                <w:rFonts w:ascii="仿宋" w:hAnsi="仿宋"/>
                <w:color w:val="000000"/>
                <w:kern w:val="0"/>
                <w:sz w:val="21"/>
                <w:szCs w:val="21"/>
              </w:rPr>
              <w:t>S316</w:t>
            </w:r>
            <w:r>
              <w:rPr>
                <w:rFonts w:hint="eastAsia" w:ascii="仿宋" w:hAnsi="仿宋"/>
                <w:color w:val="000000"/>
                <w:kern w:val="0"/>
                <w:sz w:val="21"/>
                <w:szCs w:val="21"/>
                <w:lang w:eastAsia="zh-CN"/>
              </w:rPr>
              <w:t>）</w:t>
            </w:r>
          </w:p>
        </w:tc>
        <w:tc>
          <w:tcPr>
            <w:tcW w:w="2018" w:type="pct"/>
            <w:vAlign w:val="center"/>
          </w:tcPr>
          <w:p w14:paraId="121673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青堆新城</w:t>
            </w:r>
            <w:r>
              <w:rPr>
                <w:rFonts w:hint="eastAsia" w:ascii="仿宋" w:hAnsi="仿宋"/>
                <w:color w:val="000000"/>
                <w:kern w:val="0"/>
                <w:sz w:val="21"/>
                <w:szCs w:val="21"/>
                <w:lang w:eastAsia="zh-CN"/>
              </w:rPr>
              <w:t>－</w:t>
            </w:r>
            <w:r>
              <w:rPr>
                <w:rFonts w:ascii="仿宋" w:hAnsi="仿宋"/>
                <w:color w:val="000000"/>
                <w:kern w:val="0"/>
                <w:sz w:val="21"/>
                <w:szCs w:val="21"/>
              </w:rPr>
              <w:t>塔岭镇</w:t>
            </w:r>
            <w:r>
              <w:rPr>
                <w:rFonts w:hint="eastAsia" w:ascii="仿宋" w:hAnsi="仿宋"/>
                <w:color w:val="000000"/>
                <w:kern w:val="0"/>
                <w:sz w:val="21"/>
                <w:szCs w:val="21"/>
                <w:lang w:eastAsia="zh-CN"/>
              </w:rPr>
              <w:t>－</w:t>
            </w:r>
            <w:r>
              <w:rPr>
                <w:rFonts w:ascii="仿宋" w:hAnsi="仿宋"/>
                <w:color w:val="000000"/>
                <w:kern w:val="0"/>
                <w:sz w:val="21"/>
                <w:szCs w:val="21"/>
              </w:rPr>
              <w:t>仙人洞镇</w:t>
            </w:r>
            <w:r>
              <w:rPr>
                <w:rFonts w:hint="eastAsia" w:ascii="仿宋" w:hAnsi="仿宋"/>
                <w:color w:val="000000"/>
                <w:kern w:val="0"/>
                <w:sz w:val="21"/>
                <w:szCs w:val="21"/>
                <w:lang w:eastAsia="zh-CN"/>
              </w:rPr>
              <w:t>－</w:t>
            </w:r>
            <w:r>
              <w:rPr>
                <w:rFonts w:ascii="仿宋" w:hAnsi="仿宋"/>
                <w:color w:val="000000"/>
                <w:kern w:val="0"/>
                <w:sz w:val="21"/>
                <w:szCs w:val="21"/>
              </w:rPr>
              <w:t>荷花山镇</w:t>
            </w:r>
          </w:p>
        </w:tc>
        <w:tc>
          <w:tcPr>
            <w:tcW w:w="931" w:type="pct"/>
            <w:vAlign w:val="center"/>
          </w:tcPr>
          <w:p w14:paraId="0266F32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普兰店</w:t>
            </w:r>
          </w:p>
        </w:tc>
        <w:tc>
          <w:tcPr>
            <w:tcW w:w="388" w:type="pct"/>
            <w:vAlign w:val="center"/>
          </w:tcPr>
          <w:p w14:paraId="428BA05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69</w:t>
            </w:r>
          </w:p>
        </w:tc>
        <w:tc>
          <w:tcPr>
            <w:tcW w:w="423" w:type="pct"/>
            <w:vAlign w:val="center"/>
          </w:tcPr>
          <w:p w14:paraId="0192529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改建</w:t>
            </w:r>
          </w:p>
        </w:tc>
      </w:tr>
      <w:tr w14:paraId="2790E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258" w:type="pct"/>
            <w:vMerge w:val="restart"/>
            <w:vAlign w:val="center"/>
          </w:tcPr>
          <w:p w14:paraId="522DB5B7">
            <w:pPr>
              <w:widowControl/>
              <w:spacing w:line="240" w:lineRule="auto"/>
              <w:ind w:firstLine="0" w:firstLineChars="0"/>
              <w:jc w:val="center"/>
              <w:rPr>
                <w:rFonts w:ascii="仿宋" w:hAnsi="仿宋"/>
                <w:kern w:val="0"/>
                <w:sz w:val="21"/>
                <w:szCs w:val="21"/>
              </w:rPr>
            </w:pPr>
            <w:r>
              <w:rPr>
                <w:rFonts w:ascii="仿宋" w:hAnsi="仿宋"/>
                <w:kern w:val="0"/>
                <w:sz w:val="21"/>
                <w:szCs w:val="21"/>
              </w:rPr>
              <w:t>三纵</w:t>
            </w:r>
          </w:p>
        </w:tc>
        <w:tc>
          <w:tcPr>
            <w:tcW w:w="981" w:type="pct"/>
            <w:vAlign w:val="center"/>
          </w:tcPr>
          <w:p w14:paraId="3EA1063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庄林线（G305）</w:t>
            </w:r>
          </w:p>
        </w:tc>
        <w:tc>
          <w:tcPr>
            <w:tcW w:w="2018" w:type="pct"/>
            <w:vAlign w:val="center"/>
          </w:tcPr>
          <w:p w14:paraId="4277886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光明山镇</w:t>
            </w:r>
            <w:r>
              <w:rPr>
                <w:rFonts w:hint="eastAsia" w:ascii="仿宋" w:hAnsi="仿宋"/>
                <w:color w:val="000000"/>
                <w:kern w:val="0"/>
                <w:sz w:val="21"/>
                <w:szCs w:val="21"/>
                <w:lang w:eastAsia="zh-CN"/>
              </w:rPr>
              <w:t>－</w:t>
            </w:r>
            <w:r>
              <w:rPr>
                <w:rFonts w:ascii="仿宋" w:hAnsi="仿宋"/>
                <w:color w:val="000000"/>
                <w:kern w:val="0"/>
                <w:sz w:val="21"/>
                <w:szCs w:val="21"/>
              </w:rPr>
              <w:t>长岭镇</w:t>
            </w:r>
            <w:r>
              <w:rPr>
                <w:rFonts w:hint="eastAsia" w:ascii="仿宋" w:hAnsi="仿宋"/>
                <w:color w:val="000000"/>
                <w:kern w:val="0"/>
                <w:sz w:val="21"/>
                <w:szCs w:val="21"/>
                <w:lang w:eastAsia="zh-CN"/>
              </w:rPr>
              <w:t>－</w:t>
            </w:r>
            <w:r>
              <w:rPr>
                <w:rFonts w:ascii="仿宋" w:hAnsi="仿宋"/>
                <w:color w:val="000000"/>
                <w:kern w:val="0"/>
                <w:sz w:val="21"/>
                <w:szCs w:val="21"/>
              </w:rPr>
              <w:t>桂云花满族乡</w:t>
            </w:r>
          </w:p>
        </w:tc>
        <w:tc>
          <w:tcPr>
            <w:tcW w:w="931" w:type="pct"/>
            <w:vAlign w:val="center"/>
          </w:tcPr>
          <w:p w14:paraId="7EB8A1E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盖州市</w:t>
            </w:r>
          </w:p>
        </w:tc>
        <w:tc>
          <w:tcPr>
            <w:tcW w:w="388" w:type="pct"/>
            <w:vAlign w:val="center"/>
          </w:tcPr>
          <w:p w14:paraId="0C27BD2A">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69.4</w:t>
            </w:r>
          </w:p>
        </w:tc>
        <w:tc>
          <w:tcPr>
            <w:tcW w:w="423" w:type="pct"/>
            <w:vAlign w:val="center"/>
          </w:tcPr>
          <w:p w14:paraId="6B90A82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改建</w:t>
            </w:r>
          </w:p>
        </w:tc>
      </w:tr>
      <w:tr w14:paraId="5555F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258" w:type="pct"/>
            <w:vMerge w:val="continue"/>
            <w:vAlign w:val="center"/>
          </w:tcPr>
          <w:p w14:paraId="7D2886D3">
            <w:pPr>
              <w:widowControl/>
              <w:spacing w:line="240" w:lineRule="auto"/>
              <w:ind w:firstLine="0" w:firstLineChars="0"/>
              <w:jc w:val="center"/>
              <w:rPr>
                <w:rFonts w:ascii="仿宋" w:hAnsi="仿宋"/>
                <w:kern w:val="0"/>
                <w:sz w:val="21"/>
                <w:szCs w:val="21"/>
              </w:rPr>
            </w:pPr>
          </w:p>
        </w:tc>
        <w:tc>
          <w:tcPr>
            <w:tcW w:w="981" w:type="pct"/>
            <w:vAlign w:val="center"/>
          </w:tcPr>
          <w:p w14:paraId="16C9437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辽庄线（S203）</w:t>
            </w:r>
          </w:p>
        </w:tc>
        <w:tc>
          <w:tcPr>
            <w:tcW w:w="2018" w:type="pct"/>
            <w:vAlign w:val="center"/>
          </w:tcPr>
          <w:p w14:paraId="422EEF8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r>
              <w:rPr>
                <w:rFonts w:hint="eastAsia" w:ascii="仿宋" w:hAnsi="仿宋"/>
                <w:color w:val="000000"/>
                <w:kern w:val="0"/>
                <w:sz w:val="21"/>
                <w:szCs w:val="21"/>
                <w:lang w:eastAsia="zh-CN"/>
              </w:rPr>
              <w:t>－</w:t>
            </w:r>
            <w:r>
              <w:rPr>
                <w:rFonts w:ascii="仿宋" w:hAnsi="仿宋"/>
                <w:color w:val="000000"/>
                <w:kern w:val="0"/>
                <w:sz w:val="21"/>
                <w:szCs w:val="21"/>
              </w:rPr>
              <w:t>大营镇</w:t>
            </w:r>
            <w:r>
              <w:rPr>
                <w:rFonts w:hint="eastAsia" w:ascii="仿宋" w:hAnsi="仿宋"/>
                <w:color w:val="000000"/>
                <w:kern w:val="0"/>
                <w:sz w:val="21"/>
                <w:szCs w:val="21"/>
                <w:lang w:eastAsia="zh-CN"/>
              </w:rPr>
              <w:t>－</w:t>
            </w:r>
            <w:r>
              <w:rPr>
                <w:rFonts w:ascii="仿宋" w:hAnsi="仿宋"/>
                <w:color w:val="000000"/>
                <w:kern w:val="0"/>
                <w:sz w:val="21"/>
                <w:szCs w:val="21"/>
              </w:rPr>
              <w:t>塔岭镇</w:t>
            </w:r>
          </w:p>
        </w:tc>
        <w:tc>
          <w:tcPr>
            <w:tcW w:w="931" w:type="pct"/>
            <w:vAlign w:val="center"/>
          </w:tcPr>
          <w:p w14:paraId="1DA89F3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岫岩满族自治县</w:t>
            </w:r>
          </w:p>
        </w:tc>
        <w:tc>
          <w:tcPr>
            <w:tcW w:w="388" w:type="pct"/>
            <w:vAlign w:val="center"/>
          </w:tcPr>
          <w:p w14:paraId="68F17E50">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48.3</w:t>
            </w:r>
          </w:p>
        </w:tc>
        <w:tc>
          <w:tcPr>
            <w:tcW w:w="423" w:type="pct"/>
            <w:vAlign w:val="center"/>
          </w:tcPr>
          <w:p w14:paraId="1387A1C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已建</w:t>
            </w:r>
          </w:p>
        </w:tc>
      </w:tr>
      <w:tr w14:paraId="579CB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58" w:type="pct"/>
            <w:vMerge w:val="continue"/>
            <w:vAlign w:val="center"/>
          </w:tcPr>
          <w:p w14:paraId="5D5F2C23">
            <w:pPr>
              <w:widowControl/>
              <w:spacing w:line="240" w:lineRule="auto"/>
              <w:ind w:firstLine="0" w:firstLineChars="0"/>
              <w:jc w:val="center"/>
              <w:rPr>
                <w:rFonts w:ascii="仿宋" w:hAnsi="仿宋"/>
                <w:kern w:val="0"/>
                <w:sz w:val="21"/>
                <w:szCs w:val="21"/>
              </w:rPr>
            </w:pPr>
          </w:p>
        </w:tc>
        <w:tc>
          <w:tcPr>
            <w:tcW w:w="981" w:type="pct"/>
            <w:vAlign w:val="center"/>
          </w:tcPr>
          <w:p w14:paraId="272D214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塔营线（S315）</w:t>
            </w:r>
          </w:p>
        </w:tc>
        <w:tc>
          <w:tcPr>
            <w:tcW w:w="2018" w:type="pct"/>
            <w:vAlign w:val="center"/>
          </w:tcPr>
          <w:p w14:paraId="0963074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仙人洞镇</w:t>
            </w:r>
            <w:r>
              <w:rPr>
                <w:rFonts w:hint="eastAsia" w:ascii="仿宋" w:hAnsi="仿宋"/>
                <w:color w:val="000000"/>
                <w:kern w:val="0"/>
                <w:sz w:val="21"/>
                <w:szCs w:val="21"/>
                <w:lang w:eastAsia="zh-CN"/>
              </w:rPr>
              <w:t>－</w:t>
            </w:r>
            <w:r>
              <w:rPr>
                <w:rFonts w:ascii="仿宋" w:hAnsi="仿宋"/>
                <w:color w:val="000000"/>
                <w:kern w:val="0"/>
                <w:sz w:val="21"/>
                <w:szCs w:val="21"/>
              </w:rPr>
              <w:t>塔岭镇</w:t>
            </w:r>
            <w:r>
              <w:rPr>
                <w:rFonts w:hint="eastAsia" w:ascii="仿宋" w:hAnsi="仿宋"/>
                <w:color w:val="000000"/>
                <w:kern w:val="0"/>
                <w:sz w:val="21"/>
                <w:szCs w:val="21"/>
                <w:lang w:eastAsia="zh-CN"/>
              </w:rPr>
              <w:t>－</w:t>
            </w:r>
            <w:r>
              <w:rPr>
                <w:rFonts w:ascii="仿宋" w:hAnsi="仿宋"/>
                <w:color w:val="000000"/>
                <w:kern w:val="0"/>
                <w:sz w:val="21"/>
                <w:szCs w:val="21"/>
              </w:rPr>
              <w:t>鞍子山乡</w:t>
            </w:r>
          </w:p>
        </w:tc>
        <w:tc>
          <w:tcPr>
            <w:tcW w:w="931" w:type="pct"/>
            <w:vAlign w:val="center"/>
          </w:tcPr>
          <w:p w14:paraId="371AD7C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营口市、张庄线</w:t>
            </w:r>
          </w:p>
        </w:tc>
        <w:tc>
          <w:tcPr>
            <w:tcW w:w="388" w:type="pct"/>
            <w:vAlign w:val="center"/>
          </w:tcPr>
          <w:p w14:paraId="1BD4D4D9">
            <w:pPr>
              <w:spacing w:line="240" w:lineRule="auto"/>
              <w:ind w:firstLine="0" w:firstLineChars="0"/>
              <w:jc w:val="center"/>
              <w:rPr>
                <w:rFonts w:ascii="仿宋" w:hAnsi="仿宋"/>
                <w:color w:val="000000"/>
                <w:kern w:val="0"/>
                <w:sz w:val="21"/>
                <w:szCs w:val="21"/>
              </w:rPr>
            </w:pPr>
            <w:r>
              <w:rPr>
                <w:rFonts w:ascii="仿宋" w:hAnsi="仿宋"/>
                <w:color w:val="000000"/>
                <w:sz w:val="21"/>
                <w:szCs w:val="21"/>
              </w:rPr>
              <w:t>31.2</w:t>
            </w:r>
          </w:p>
        </w:tc>
        <w:tc>
          <w:tcPr>
            <w:tcW w:w="423" w:type="pct"/>
            <w:vAlign w:val="center"/>
          </w:tcPr>
          <w:p w14:paraId="4EF63D5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改建</w:t>
            </w:r>
          </w:p>
        </w:tc>
      </w:tr>
    </w:tbl>
    <w:p w14:paraId="317B045F">
      <w:pPr>
        <w:widowControl/>
        <w:spacing w:line="300" w:lineRule="auto"/>
        <w:ind w:firstLine="0" w:firstLineChars="0"/>
        <w:rPr>
          <w:rFonts w:eastAsia="宋体"/>
          <w:sz w:val="24"/>
        </w:rPr>
      </w:pPr>
    </w:p>
    <w:p w14:paraId="576383FB">
      <w:pPr>
        <w:widowControl/>
        <w:spacing w:line="300" w:lineRule="auto"/>
        <w:ind w:firstLine="0" w:firstLineChars="0"/>
        <w:jc w:val="center"/>
        <w:rPr>
          <w:rFonts w:eastAsia="黑体"/>
          <w:sz w:val="21"/>
          <w:szCs w:val="21"/>
        </w:rPr>
      </w:pPr>
      <w:r>
        <w:rPr>
          <w:rFonts w:eastAsia="黑体"/>
          <w:sz w:val="21"/>
          <w:szCs w:val="21"/>
        </w:rPr>
        <w:drawing>
          <wp:inline distT="0" distB="0" distL="0" distR="0">
            <wp:extent cx="5278120" cy="4491355"/>
            <wp:effectExtent l="0" t="0" r="0" b="44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78120" cy="4491355"/>
                    </a:xfrm>
                    <a:prstGeom prst="rect">
                      <a:avLst/>
                    </a:prstGeom>
                  </pic:spPr>
                </pic:pic>
              </a:graphicData>
            </a:graphic>
          </wp:inline>
        </w:drawing>
      </w:r>
    </w:p>
    <w:p w14:paraId="1FCB1B5D">
      <w:pPr>
        <w:ind w:firstLine="0" w:firstLineChars="0"/>
        <w:jc w:val="center"/>
        <w:rPr>
          <w:rFonts w:ascii="仿宋" w:hAnsi="仿宋"/>
          <w:bCs/>
          <w:sz w:val="21"/>
          <w:szCs w:val="21"/>
        </w:rPr>
      </w:pPr>
      <w:r>
        <w:rPr>
          <w:rFonts w:ascii="仿宋" w:hAnsi="仿宋"/>
          <w:bCs/>
          <w:sz w:val="21"/>
          <w:szCs w:val="21"/>
        </w:rPr>
        <w:t>图10 庄河市</w:t>
      </w:r>
      <w:r>
        <w:rPr>
          <w:rFonts w:hint="eastAsia" w:ascii="仿宋" w:hAnsi="仿宋"/>
          <w:bCs/>
          <w:sz w:val="21"/>
          <w:szCs w:val="21"/>
        </w:rPr>
        <w:t>干线公路网</w:t>
      </w:r>
      <w:r>
        <w:rPr>
          <w:rFonts w:ascii="仿宋" w:hAnsi="仿宋"/>
          <w:bCs/>
          <w:sz w:val="21"/>
          <w:szCs w:val="21"/>
        </w:rPr>
        <w:t>布局图</w:t>
      </w:r>
    </w:p>
    <w:p w14:paraId="3EF3C5E4">
      <w:pPr>
        <w:ind w:firstLine="482"/>
        <w:rPr>
          <w:rFonts w:ascii="仿宋" w:hAnsi="仿宋"/>
          <w:b/>
          <w:sz w:val="24"/>
        </w:rPr>
      </w:pPr>
      <w:r>
        <w:rPr>
          <w:rFonts w:ascii="仿宋" w:hAnsi="仿宋"/>
          <w:b/>
          <w:sz w:val="24"/>
        </w:rPr>
        <w:t xml:space="preserve">3. </w:t>
      </w:r>
      <w:r>
        <w:rPr>
          <w:rFonts w:hint="eastAsia" w:ascii="仿宋" w:hAnsi="仿宋"/>
          <w:b/>
          <w:sz w:val="24"/>
        </w:rPr>
        <w:t>联络线布局</w:t>
      </w:r>
    </w:p>
    <w:p w14:paraId="66641002">
      <w:pPr>
        <w:ind w:firstLine="482"/>
        <w:rPr>
          <w:rFonts w:ascii="仿宋" w:hAnsi="仿宋"/>
          <w:sz w:val="24"/>
        </w:rPr>
      </w:pPr>
      <w:r>
        <w:rPr>
          <w:rFonts w:ascii="仿宋" w:hAnsi="仿宋"/>
          <w:b/>
          <w:sz w:val="24"/>
        </w:rPr>
        <w:t>加强资源整合和区域协作，打造庄河旅游的靓丽名片。实施山步线改扩建工程</w:t>
      </w:r>
      <w:r>
        <w:rPr>
          <w:rFonts w:ascii="仿宋" w:hAnsi="仿宋"/>
          <w:sz w:val="24"/>
        </w:rPr>
        <w:t>。项目位于庄河市北部山区，路线总体为东西走向，工程起点位于仙人洞镇天门山村，终点位于步云山乡谦泰村，全长27.06公里，由新建段和提级改造段两部分组成。新建段为13.05公里，提级改造段为14.01公里，路基宽度10.5米，路面宽度9.0米，双向两车道，新建1座隧道长1.875公里，占地约800亩</w:t>
      </w:r>
      <w:r>
        <w:rPr>
          <w:rFonts w:hint="eastAsia" w:ascii="仿宋" w:hAnsi="仿宋"/>
          <w:sz w:val="24"/>
          <w:lang w:eastAsia="zh-CN"/>
        </w:rPr>
        <w:t>；</w:t>
      </w:r>
      <w:r>
        <w:rPr>
          <w:rFonts w:ascii="仿宋" w:hAnsi="仿宋"/>
          <w:sz w:val="24"/>
        </w:rPr>
        <w:t>总投资约5.01亿元</w:t>
      </w:r>
      <w:r>
        <w:rPr>
          <w:rFonts w:hint="eastAsia" w:ascii="仿宋" w:hAnsi="仿宋"/>
          <w:sz w:val="24"/>
          <w:lang w:eastAsia="zh-CN"/>
        </w:rPr>
        <w:t>，</w:t>
      </w:r>
      <w:r>
        <w:rPr>
          <w:rFonts w:ascii="仿宋" w:hAnsi="仿宋"/>
          <w:sz w:val="24"/>
        </w:rPr>
        <w:t>工程投资约3.55亿元，土地报件及补偿费7900万元，地上附属物及拆迁房屋补偿费6700万元（共拆房屋约62户，大棚43处）。将天门山、冰峪沟、步云山等旅游区有机连接，可以极大地推动庄河市旅游资源产业化发展，助力脱贫攻坚和乡村振兴战略。</w:t>
      </w:r>
    </w:p>
    <w:p w14:paraId="0A2C4158">
      <w:pPr>
        <w:spacing w:line="300" w:lineRule="auto"/>
        <w:ind w:firstLine="480"/>
        <w:rPr>
          <w:rFonts w:eastAsia="宋体"/>
          <w:sz w:val="24"/>
        </w:rPr>
      </w:pPr>
    </w:p>
    <w:p w14:paraId="5ED3841D">
      <w:pPr>
        <w:widowControl/>
        <w:spacing w:line="300" w:lineRule="auto"/>
        <w:ind w:firstLine="0" w:firstLineChars="0"/>
        <w:jc w:val="center"/>
        <w:rPr>
          <w:rFonts w:eastAsia="宋体"/>
          <w:sz w:val="24"/>
        </w:rPr>
      </w:pPr>
      <w:r>
        <w:rPr>
          <w:rFonts w:eastAsia="宋体"/>
          <w:sz w:val="24"/>
        </w:rPr>
        <w:drawing>
          <wp:inline distT="0" distB="0" distL="0" distR="0">
            <wp:extent cx="4147820" cy="3549015"/>
            <wp:effectExtent l="0" t="0" r="508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148051" cy="3549535"/>
                    </a:xfrm>
                    <a:prstGeom prst="rect">
                      <a:avLst/>
                    </a:prstGeom>
                  </pic:spPr>
                </pic:pic>
              </a:graphicData>
            </a:graphic>
          </wp:inline>
        </w:drawing>
      </w:r>
    </w:p>
    <w:p w14:paraId="738040BF">
      <w:pPr>
        <w:ind w:firstLine="0" w:firstLineChars="0"/>
        <w:jc w:val="center"/>
        <w:rPr>
          <w:rFonts w:ascii="仿宋" w:hAnsi="仿宋"/>
          <w:bCs/>
          <w:sz w:val="21"/>
          <w:szCs w:val="21"/>
        </w:rPr>
      </w:pPr>
      <w:r>
        <w:rPr>
          <w:rFonts w:ascii="仿宋" w:hAnsi="仿宋"/>
          <w:bCs/>
          <w:sz w:val="21"/>
          <w:szCs w:val="21"/>
        </w:rPr>
        <w:t>图11</w:t>
      </w:r>
      <w:r>
        <w:rPr>
          <w:rFonts w:hint="eastAsia" w:ascii="仿宋" w:hAnsi="仿宋"/>
          <w:bCs/>
          <w:sz w:val="21"/>
          <w:szCs w:val="21"/>
        </w:rPr>
        <w:t xml:space="preserve"> 天门山至步云山公路</w:t>
      </w:r>
      <w:r>
        <w:rPr>
          <w:rFonts w:ascii="仿宋" w:hAnsi="仿宋"/>
          <w:bCs/>
          <w:sz w:val="21"/>
          <w:szCs w:val="21"/>
        </w:rPr>
        <w:t>布局图</w:t>
      </w:r>
    </w:p>
    <w:p w14:paraId="5FBD0297">
      <w:pPr>
        <w:ind w:firstLine="482"/>
        <w:rPr>
          <w:rFonts w:ascii="仿宋" w:hAnsi="仿宋"/>
          <w:sz w:val="24"/>
        </w:rPr>
      </w:pPr>
      <w:r>
        <w:rPr>
          <w:rFonts w:ascii="仿宋" w:hAnsi="仿宋"/>
          <w:b/>
          <w:sz w:val="24"/>
        </w:rPr>
        <w:t>建设蛤蜊岛大桥，维护国家海洋权益，促进经济社会可持续发展</w:t>
      </w:r>
      <w:r>
        <w:rPr>
          <w:rFonts w:ascii="仿宋" w:hAnsi="仿宋"/>
          <w:sz w:val="24"/>
        </w:rPr>
        <w:t>，</w:t>
      </w:r>
      <w:r>
        <w:rPr>
          <w:rFonts w:ascii="仿宋" w:hAnsi="仿宋"/>
          <w:b/>
          <w:sz w:val="24"/>
        </w:rPr>
        <w:t>改善城市面貌，提升市民生活品质</w:t>
      </w:r>
      <w:r>
        <w:rPr>
          <w:rFonts w:ascii="仿宋" w:hAnsi="仿宋"/>
          <w:sz w:val="24"/>
        </w:rPr>
        <w:t>。蛤蜊岛大桥总投资14581.76万元，设计桥长1400米，桥梁顶面宽度11m，其中行车道为单向进出行驶，宽度6m；行车道两侧各设置一处人行步道，步道宽2m。机动车道路面结构采用沥青混凝土结构，人行道路面结构采用</w:t>
      </w:r>
      <w:r>
        <w:rPr>
          <w:rFonts w:hint="eastAsia" w:ascii="仿宋" w:hAnsi="仿宋"/>
          <w:sz w:val="24"/>
          <w:lang w:eastAsia="zh-CN"/>
        </w:rPr>
        <w:t>砌块砖</w:t>
      </w:r>
      <w:r>
        <w:rPr>
          <w:rFonts w:ascii="仿宋" w:hAnsi="仿宋"/>
          <w:sz w:val="24"/>
        </w:rPr>
        <w:t>体结构。桥梁顶高程以现有连岛坝顶高程为主，桥梁跨径40m。桥梁上部结构采用3×40m预应力混凝土先简支后连续T梁，下部结构采用柱式墩台、桩基础。</w:t>
      </w:r>
    </w:p>
    <w:p w14:paraId="711938BD">
      <w:pPr>
        <w:widowControl/>
        <w:spacing w:line="300" w:lineRule="auto"/>
        <w:ind w:firstLine="0" w:firstLineChars="0"/>
        <w:jc w:val="center"/>
        <w:rPr>
          <w:rFonts w:eastAsia="宋体"/>
          <w:sz w:val="24"/>
        </w:rPr>
      </w:pPr>
      <w:r>
        <w:rPr>
          <w:rFonts w:eastAsia="宋体"/>
          <w:sz w:val="24"/>
        </w:rPr>
        <w:drawing>
          <wp:inline distT="0" distB="0" distL="0" distR="0">
            <wp:extent cx="5278120" cy="359664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8120" cy="3596640"/>
                    </a:xfrm>
                    <a:prstGeom prst="rect">
                      <a:avLst/>
                    </a:prstGeom>
                  </pic:spPr>
                </pic:pic>
              </a:graphicData>
            </a:graphic>
          </wp:inline>
        </w:drawing>
      </w:r>
    </w:p>
    <w:p w14:paraId="6FA29B5A">
      <w:pPr>
        <w:spacing w:line="300" w:lineRule="auto"/>
        <w:ind w:firstLine="420"/>
        <w:jc w:val="center"/>
        <w:rPr>
          <w:rFonts w:ascii="仿宋" w:hAnsi="仿宋"/>
          <w:sz w:val="21"/>
          <w:szCs w:val="21"/>
        </w:rPr>
      </w:pPr>
      <w:r>
        <w:rPr>
          <w:rFonts w:ascii="仿宋" w:hAnsi="仿宋"/>
          <w:sz w:val="21"/>
          <w:szCs w:val="21"/>
        </w:rPr>
        <w:t>图12</w:t>
      </w:r>
      <w:r>
        <w:rPr>
          <w:rFonts w:hint="eastAsia" w:ascii="仿宋" w:hAnsi="仿宋"/>
          <w:sz w:val="21"/>
          <w:szCs w:val="21"/>
        </w:rPr>
        <w:t xml:space="preserve"> 跨海通道</w:t>
      </w:r>
      <w:r>
        <w:rPr>
          <w:rFonts w:ascii="仿宋" w:hAnsi="仿宋"/>
          <w:sz w:val="21"/>
          <w:szCs w:val="21"/>
        </w:rPr>
        <w:t>布局图</w:t>
      </w:r>
    </w:p>
    <w:p w14:paraId="252DE2A7">
      <w:pPr>
        <w:ind w:firstLine="482"/>
        <w:rPr>
          <w:rFonts w:ascii="仿宋" w:hAnsi="仿宋"/>
          <w:sz w:val="24"/>
        </w:rPr>
      </w:pPr>
      <w:r>
        <w:rPr>
          <w:rFonts w:hint="eastAsia" w:ascii="仿宋" w:hAnsi="仿宋"/>
          <w:b/>
          <w:sz w:val="24"/>
        </w:rPr>
        <w:t>县级公路大中修，提高公路通行条件和安全性，使客货运输更加快捷，对沿线经济快速发展有极大促进作用。</w:t>
      </w:r>
      <w:r>
        <w:rPr>
          <w:rFonts w:hint="eastAsia" w:ascii="仿宋" w:hAnsi="仿宋"/>
          <w:sz w:val="24"/>
        </w:rPr>
        <w:t>“十四五”期间，对庄河市境内庄龙线、庄茧线等7条县级公路进行大中修改造，路段全长83.086公里，其中：一级公路1.495公里、二级公路70.851公里、三级公路10.74公里，工程投资约1.64亿元。</w:t>
      </w:r>
    </w:p>
    <w:p w14:paraId="47E28305">
      <w:pPr>
        <w:pStyle w:val="4"/>
        <w:spacing w:before="120" w:beforeLines="50" w:after="0" w:line="360" w:lineRule="auto"/>
        <w:ind w:firstLine="0" w:firstLineChars="0"/>
        <w:rPr>
          <w:rFonts w:ascii="Times New Roman" w:hAnsi="Times New Roman"/>
          <w:b w:val="0"/>
          <w:bCs/>
          <w:sz w:val="28"/>
          <w:szCs w:val="28"/>
        </w:rPr>
      </w:pPr>
      <w:bookmarkStart w:id="22" w:name="_Toc72258218"/>
      <w:r>
        <w:rPr>
          <w:rFonts w:hint="eastAsia" w:ascii="Times New Roman" w:hAnsi="Times New Roman"/>
          <w:b w:val="0"/>
          <w:bCs/>
          <w:sz w:val="28"/>
          <w:szCs w:val="28"/>
        </w:rPr>
        <w:t>（四）加快</w:t>
      </w:r>
      <w:r>
        <w:rPr>
          <w:rFonts w:ascii="Times New Roman" w:hAnsi="Times New Roman"/>
          <w:b w:val="0"/>
          <w:bCs/>
          <w:sz w:val="28"/>
          <w:szCs w:val="28"/>
        </w:rPr>
        <w:t>农村公路</w:t>
      </w:r>
      <w:r>
        <w:rPr>
          <w:rFonts w:hint="eastAsia" w:ascii="Times New Roman" w:hAnsi="Times New Roman"/>
          <w:b w:val="0"/>
          <w:bCs/>
          <w:sz w:val="28"/>
          <w:szCs w:val="28"/>
        </w:rPr>
        <w:t>改造进程，促进农村经济快速发展</w:t>
      </w:r>
      <w:bookmarkEnd w:id="22"/>
    </w:p>
    <w:p w14:paraId="57EFADEF">
      <w:pPr>
        <w:ind w:firstLine="482"/>
        <w:rPr>
          <w:rFonts w:ascii="仿宋" w:hAnsi="仿宋"/>
          <w:sz w:val="24"/>
        </w:rPr>
      </w:pPr>
      <w:r>
        <w:rPr>
          <w:rFonts w:hint="eastAsia" w:ascii="仿宋" w:hAnsi="仿宋"/>
          <w:b/>
          <w:sz w:val="24"/>
        </w:rPr>
        <w:t>农村公路大中修，极大提高庄河市境内农村公路通行条件，使农村群众出行及农产品运输更加便捷。</w:t>
      </w:r>
      <w:r>
        <w:rPr>
          <w:rFonts w:ascii="仿宋" w:hAnsi="仿宋"/>
          <w:sz w:val="24"/>
        </w:rPr>
        <w:t>“十四五”期间将继续对境内农村公路进行大中修改造，共计划改造乡级公路155.141公里、村级公路977.878公里</w:t>
      </w:r>
      <w:r>
        <w:rPr>
          <w:rFonts w:hint="eastAsia" w:ascii="仿宋" w:hAnsi="仿宋"/>
          <w:sz w:val="24"/>
        </w:rPr>
        <w:t>，总投资约7.55亿元</w:t>
      </w:r>
      <w:r>
        <w:rPr>
          <w:rFonts w:ascii="仿宋" w:hAnsi="仿宋"/>
          <w:sz w:val="24"/>
        </w:rPr>
        <w:t>。使得庄河市路网真正遍布庄河市内的各个角落，达到“屯屯通”的规划要求。</w:t>
      </w:r>
      <w:bookmarkEnd w:id="6"/>
      <w:bookmarkEnd w:id="7"/>
    </w:p>
    <w:p w14:paraId="49D9ACCC">
      <w:pPr>
        <w:pStyle w:val="4"/>
        <w:spacing w:before="120" w:beforeLines="50" w:after="0" w:line="360" w:lineRule="auto"/>
        <w:ind w:firstLine="0" w:firstLineChars="0"/>
        <w:rPr>
          <w:rFonts w:ascii="Times New Roman" w:hAnsi="Times New Roman"/>
          <w:b w:val="0"/>
          <w:bCs/>
          <w:sz w:val="28"/>
          <w:szCs w:val="28"/>
        </w:rPr>
      </w:pPr>
      <w:bookmarkStart w:id="23" w:name="_Toc72258219"/>
      <w:r>
        <w:rPr>
          <w:rFonts w:hint="eastAsia" w:ascii="Times New Roman" w:hAnsi="Times New Roman"/>
          <w:b w:val="0"/>
          <w:bCs/>
          <w:sz w:val="28"/>
          <w:szCs w:val="28"/>
        </w:rPr>
        <w:t>（五）完善水路运输体系，促进航运发展</w:t>
      </w:r>
      <w:bookmarkEnd w:id="23"/>
    </w:p>
    <w:p w14:paraId="0FDF3190">
      <w:pPr>
        <w:ind w:firstLine="482"/>
        <w:rPr>
          <w:rFonts w:ascii="仿宋" w:hAnsi="仿宋"/>
          <w:sz w:val="24"/>
        </w:rPr>
      </w:pPr>
      <w:r>
        <w:rPr>
          <w:rFonts w:hint="eastAsia" w:ascii="仿宋" w:hAnsi="仿宋"/>
          <w:b/>
          <w:sz w:val="24"/>
        </w:rPr>
        <w:t>拓展陆岛交通通道，新开辟庄河至长海陆岛交通航线。</w:t>
      </w:r>
      <w:r>
        <w:rPr>
          <w:rFonts w:hint="eastAsia" w:ascii="仿宋" w:hAnsi="仿宋"/>
          <w:sz w:val="24"/>
        </w:rPr>
        <w:t>将庄河港逐步发展成为规模化的地方综合性港口。继续完善庄河港口码头建设，搞好港口装卸设施的配套建设和港区的物流配套功能建设，尽快完成木材码头及熏蒸区、国际客滚泊位、205#-206#泊位建设并投入运营。完成庄河港航道和防波堤建设。完成庄河港、石城港、王家港陆岛码头建设并投入运营。推进寿龙岛1000吨级客滚码头和双师岛趸船码头建设。</w:t>
      </w:r>
    </w:p>
    <w:p w14:paraId="3AC507AE">
      <w:pPr>
        <w:pStyle w:val="2"/>
        <w:ind w:firstLine="560"/>
      </w:pPr>
    </w:p>
    <w:p w14:paraId="62FA4E41">
      <w:pPr>
        <w:ind w:firstLine="480"/>
        <w:rPr>
          <w:rFonts w:ascii="仿宋" w:hAnsi="仿宋"/>
          <w:sz w:val="24"/>
        </w:rPr>
      </w:pPr>
      <w:r>
        <w:rPr>
          <w:rFonts w:ascii="仿宋" w:hAnsi="仿宋"/>
          <w:sz w:val="24"/>
        </w:rPr>
        <w:t>具体规划建设工程如下：</w:t>
      </w:r>
    </w:p>
    <w:p w14:paraId="3798F16D">
      <w:pPr>
        <w:ind w:firstLine="480"/>
        <w:rPr>
          <w:rFonts w:ascii="仿宋" w:hAnsi="仿宋"/>
          <w:sz w:val="24"/>
        </w:rPr>
      </w:pPr>
      <w:r>
        <w:rPr>
          <w:rFonts w:ascii="仿宋" w:hAnsi="仿宋"/>
          <w:sz w:val="24"/>
        </w:rPr>
        <w:t>（1）庄河王家镇后滩港客运客货滚装码头及防波堤工程</w:t>
      </w:r>
    </w:p>
    <w:p w14:paraId="0172A5F6">
      <w:pPr>
        <w:ind w:firstLine="480"/>
        <w:rPr>
          <w:rFonts w:ascii="仿宋" w:hAnsi="仿宋"/>
          <w:sz w:val="24"/>
        </w:rPr>
      </w:pPr>
      <w:r>
        <w:rPr>
          <w:rFonts w:ascii="仿宋" w:hAnsi="仿宋"/>
          <w:sz w:val="24"/>
        </w:rPr>
        <w:t>为缓解陆岛运输压力，方便岛内居民交通，促进海王九岛旅游业的快速发展。“十四五”期间，计划在王家岛建设1000GT客运泊位2个、1000GT客货滚装泊位1个，岸线长345米。概算总投资25890万元。</w:t>
      </w:r>
    </w:p>
    <w:p w14:paraId="26558D29">
      <w:pPr>
        <w:ind w:firstLine="480"/>
        <w:rPr>
          <w:rFonts w:ascii="仿宋" w:hAnsi="仿宋"/>
          <w:sz w:val="24"/>
        </w:rPr>
      </w:pPr>
      <w:r>
        <w:rPr>
          <w:rFonts w:ascii="仿宋" w:hAnsi="仿宋"/>
          <w:sz w:val="24"/>
        </w:rPr>
        <w:t>（2）大连港庄河港区将军石作业区防波堤工程</w:t>
      </w:r>
    </w:p>
    <w:p w14:paraId="3B15199D">
      <w:pPr>
        <w:ind w:firstLine="480"/>
        <w:rPr>
          <w:rFonts w:ascii="仿宋" w:hAnsi="仿宋"/>
          <w:sz w:val="24"/>
        </w:rPr>
      </w:pPr>
      <w:r>
        <w:rPr>
          <w:rFonts w:ascii="仿宋" w:hAnsi="仿宋"/>
          <w:sz w:val="24"/>
        </w:rPr>
        <w:t>为提高港口码头及港池内停泊的船舶的安全防护。计划在庄河港区将军石作业区建设东防波堤1072.8米，西防波堤4914.9米，顶高程9米。概算总投资63211万元。</w:t>
      </w:r>
    </w:p>
    <w:p w14:paraId="33847876">
      <w:pPr>
        <w:ind w:firstLine="480"/>
        <w:rPr>
          <w:rFonts w:ascii="仿宋" w:hAnsi="仿宋"/>
          <w:sz w:val="24"/>
        </w:rPr>
      </w:pPr>
      <w:r>
        <w:rPr>
          <w:rFonts w:ascii="仿宋" w:hAnsi="仿宋"/>
          <w:sz w:val="24"/>
        </w:rPr>
        <w:t>（3）大连港庄河港区将军石作业区航道扩建工程</w:t>
      </w:r>
    </w:p>
    <w:p w14:paraId="7C0E0F8B">
      <w:pPr>
        <w:ind w:firstLine="480"/>
        <w:rPr>
          <w:rFonts w:ascii="仿宋" w:hAnsi="仿宋"/>
          <w:sz w:val="24"/>
        </w:rPr>
      </w:pPr>
      <w:r>
        <w:rPr>
          <w:rFonts w:ascii="仿宋" w:hAnsi="仿宋"/>
          <w:sz w:val="24"/>
        </w:rPr>
        <w:t>为进一步满足现有泊位通航需求，计划对庄河港区将军石作业区航道进行扩建，计划建设3万吨级单向航道7860米，宽140米，深</w:t>
      </w:r>
      <w:r>
        <w:rPr>
          <w:rFonts w:hint="eastAsia" w:ascii="仿宋" w:hAnsi="仿宋"/>
          <w:sz w:val="24"/>
        </w:rPr>
        <w:t>—</w:t>
      </w:r>
      <w:r>
        <w:rPr>
          <w:rFonts w:ascii="仿宋" w:hAnsi="仿宋"/>
          <w:sz w:val="24"/>
        </w:rPr>
        <w:t>9.4米。概算总投资17825万元。</w:t>
      </w:r>
    </w:p>
    <w:p w14:paraId="42774F0B">
      <w:pPr>
        <w:ind w:firstLine="480"/>
        <w:rPr>
          <w:rFonts w:ascii="仿宋" w:hAnsi="仿宋"/>
          <w:sz w:val="24"/>
        </w:rPr>
      </w:pPr>
      <w:r>
        <w:rPr>
          <w:rFonts w:ascii="仿宋" w:hAnsi="仿宋"/>
          <w:sz w:val="24"/>
        </w:rPr>
        <w:t>（4）庄河港区客运和客货滚装泊位工程</w:t>
      </w:r>
    </w:p>
    <w:p w14:paraId="76202319">
      <w:pPr>
        <w:ind w:firstLine="480"/>
        <w:rPr>
          <w:rFonts w:ascii="仿宋" w:hAnsi="仿宋"/>
          <w:sz w:val="24"/>
        </w:rPr>
      </w:pPr>
      <w:r>
        <w:rPr>
          <w:rFonts w:ascii="仿宋" w:hAnsi="仿宋"/>
          <w:sz w:val="24"/>
        </w:rPr>
        <w:t>为进一步满足岛内居民的生</w:t>
      </w:r>
      <w:r>
        <w:rPr>
          <w:rFonts w:hint="eastAsia" w:ascii="仿宋" w:hAnsi="仿宋"/>
          <w:sz w:val="24"/>
          <w:lang w:eastAsia="zh-CN"/>
        </w:rPr>
        <w:t>活和</w:t>
      </w:r>
      <w:r>
        <w:rPr>
          <w:rFonts w:ascii="仿宋" w:hAnsi="仿宋"/>
          <w:sz w:val="24"/>
        </w:rPr>
        <w:t>生产生活需求，改善陆岛交通运输条件。计划在庄河将军石作业区建设1000GT客运泊位1个，1000GT客滚泊位1个，岸线长139米。概算总投资7450万元。</w:t>
      </w:r>
    </w:p>
    <w:p w14:paraId="49EF6892">
      <w:pPr>
        <w:ind w:firstLine="480"/>
        <w:rPr>
          <w:rFonts w:ascii="仿宋" w:hAnsi="仿宋"/>
          <w:sz w:val="24"/>
        </w:rPr>
      </w:pPr>
      <w:r>
        <w:rPr>
          <w:rFonts w:ascii="仿宋" w:hAnsi="仿宋"/>
          <w:sz w:val="24"/>
        </w:rPr>
        <w:t>（5）大连港庄河港区将军石作业区205#</w:t>
      </w:r>
      <w:r>
        <w:rPr>
          <w:rFonts w:hint="eastAsia" w:ascii="仿宋" w:hAnsi="仿宋"/>
          <w:sz w:val="24"/>
        </w:rPr>
        <w:t>—</w:t>
      </w:r>
      <w:r>
        <w:rPr>
          <w:rFonts w:ascii="仿宋" w:hAnsi="仿宋"/>
          <w:sz w:val="24"/>
        </w:rPr>
        <w:t>206#泊位工程</w:t>
      </w:r>
    </w:p>
    <w:p w14:paraId="008B97DD">
      <w:pPr>
        <w:ind w:firstLine="480"/>
        <w:rPr>
          <w:rFonts w:ascii="仿宋" w:hAnsi="仿宋"/>
          <w:sz w:val="24"/>
        </w:rPr>
      </w:pPr>
      <w:r>
        <w:rPr>
          <w:rFonts w:ascii="仿宋" w:hAnsi="仿宋"/>
          <w:sz w:val="24"/>
        </w:rPr>
        <w:t>为带动庄河腹地的</w:t>
      </w:r>
      <w:r>
        <w:rPr>
          <w:rFonts w:hint="eastAsia" w:ascii="仿宋" w:hAnsi="仿宋"/>
          <w:sz w:val="24"/>
          <w:lang w:eastAsia="zh-CN"/>
        </w:rPr>
        <w:t>经济快速发展</w:t>
      </w:r>
      <w:r>
        <w:rPr>
          <w:rFonts w:ascii="仿宋" w:hAnsi="仿宋"/>
          <w:sz w:val="24"/>
        </w:rPr>
        <w:t>，发挥港口物流区、冷库的配套设施作用。计划在庄河港区将军石作业区建设5000吨级多用途泊位1个，1万吨级多用途泊位1个，岸线长315米。概算总投资34555万元。</w:t>
      </w:r>
    </w:p>
    <w:p w14:paraId="064D9F34">
      <w:pPr>
        <w:ind w:firstLine="480"/>
        <w:rPr>
          <w:rFonts w:ascii="仿宋" w:hAnsi="仿宋"/>
          <w:sz w:val="24"/>
        </w:rPr>
      </w:pPr>
      <w:r>
        <w:rPr>
          <w:rFonts w:ascii="仿宋" w:hAnsi="仿宋"/>
          <w:sz w:val="24"/>
        </w:rPr>
        <w:t>（6）辽宁海事局庄河海事监管基地工程</w:t>
      </w:r>
    </w:p>
    <w:p w14:paraId="6AE13DEB">
      <w:pPr>
        <w:ind w:firstLine="480"/>
        <w:rPr>
          <w:rFonts w:ascii="仿宋" w:hAnsi="仿宋"/>
          <w:sz w:val="24"/>
        </w:rPr>
      </w:pPr>
      <w:r>
        <w:rPr>
          <w:rFonts w:ascii="仿宋" w:hAnsi="仿宋"/>
          <w:sz w:val="24"/>
        </w:rPr>
        <w:t>建设码头及直立岸线总长181米，港池东侧布置直立护岸，长57米。概算总投资4831万元。本工程是海事局海事工作船的专用泊位。</w:t>
      </w:r>
    </w:p>
    <w:p w14:paraId="5E115644">
      <w:pPr>
        <w:ind w:firstLine="480"/>
        <w:rPr>
          <w:rFonts w:ascii="仿宋" w:hAnsi="仿宋"/>
          <w:sz w:val="24"/>
        </w:rPr>
      </w:pPr>
      <w:r>
        <w:rPr>
          <w:rFonts w:ascii="仿宋" w:hAnsi="仿宋"/>
          <w:sz w:val="24"/>
        </w:rPr>
        <w:t>（7）庄河港陆岛交通码头工程</w:t>
      </w:r>
    </w:p>
    <w:p w14:paraId="5A274CE3">
      <w:pPr>
        <w:ind w:firstLine="480"/>
        <w:rPr>
          <w:rFonts w:ascii="仿宋" w:hAnsi="仿宋"/>
          <w:sz w:val="24"/>
        </w:rPr>
      </w:pPr>
      <w:r>
        <w:rPr>
          <w:rFonts w:ascii="仿宋" w:hAnsi="仿宋"/>
          <w:sz w:val="24"/>
        </w:rPr>
        <w:t>为完善庄河港的陆岛交通体系，计划建设1000GT客货滚装泊位1个，长88.33米，配套升降桥1座，液压设备操作间1座，1000DWT客货泊位1个，长118.5米。总投资3826万元。</w:t>
      </w:r>
    </w:p>
    <w:p w14:paraId="30BD86AB">
      <w:pPr>
        <w:ind w:firstLine="480"/>
        <w:rPr>
          <w:rFonts w:ascii="仿宋" w:hAnsi="仿宋"/>
          <w:sz w:val="24"/>
        </w:rPr>
      </w:pPr>
      <w:r>
        <w:rPr>
          <w:rFonts w:ascii="仿宋" w:hAnsi="仿宋"/>
          <w:sz w:val="24"/>
        </w:rPr>
        <w:t>（8）庄河港101#</w:t>
      </w:r>
      <w:r>
        <w:rPr>
          <w:rFonts w:hint="eastAsia" w:ascii="仿宋" w:hAnsi="仿宋"/>
          <w:sz w:val="24"/>
        </w:rPr>
        <w:t>—</w:t>
      </w:r>
      <w:r>
        <w:rPr>
          <w:rFonts w:ascii="仿宋" w:hAnsi="仿宋"/>
          <w:sz w:val="24"/>
        </w:rPr>
        <w:t>103#泊位升级改造工程</w:t>
      </w:r>
    </w:p>
    <w:p w14:paraId="71E41EAB">
      <w:pPr>
        <w:ind w:firstLine="480"/>
        <w:rPr>
          <w:rFonts w:ascii="仿宋" w:hAnsi="仿宋"/>
          <w:sz w:val="24"/>
        </w:rPr>
      </w:pPr>
      <w:r>
        <w:rPr>
          <w:rFonts w:ascii="仿宋" w:hAnsi="仿宋"/>
          <w:sz w:val="24"/>
        </w:rPr>
        <w:t>为提升庄河港老码头综合服务能力，计划对原有的三个泊位进行升级改造，包括道路、堆场、附属建筑等。总投资约7500</w:t>
      </w:r>
      <w:r>
        <w:rPr>
          <w:rFonts w:hint="eastAsia" w:ascii="仿宋" w:hAnsi="仿宋"/>
          <w:sz w:val="24"/>
          <w:lang w:eastAsia="zh-CN"/>
        </w:rPr>
        <w:t>万元</w:t>
      </w:r>
      <w:r>
        <w:rPr>
          <w:rFonts w:ascii="仿宋" w:hAnsi="仿宋"/>
          <w:sz w:val="24"/>
        </w:rPr>
        <w:t>。</w:t>
      </w:r>
    </w:p>
    <w:p w14:paraId="57796A13">
      <w:pPr>
        <w:ind w:firstLine="480"/>
        <w:rPr>
          <w:rFonts w:ascii="仿宋" w:hAnsi="仿宋"/>
          <w:sz w:val="24"/>
        </w:rPr>
      </w:pPr>
      <w:r>
        <w:rPr>
          <w:rFonts w:ascii="仿宋" w:hAnsi="仿宋"/>
          <w:sz w:val="24"/>
        </w:rPr>
        <w:t>（9）庄河港区港池清淤疏浚工程</w:t>
      </w:r>
    </w:p>
    <w:p w14:paraId="67E740BA">
      <w:pPr>
        <w:ind w:firstLine="480"/>
        <w:rPr>
          <w:rFonts w:ascii="仿宋" w:hAnsi="仿宋"/>
          <w:sz w:val="24"/>
        </w:rPr>
      </w:pPr>
      <w:r>
        <w:rPr>
          <w:rFonts w:ascii="仿宋" w:hAnsi="仿宋"/>
          <w:sz w:val="24"/>
        </w:rPr>
        <w:t>为保证通航安全，计划对航道和整个港池做维护性疏浚，总投资约3000万。</w:t>
      </w:r>
    </w:p>
    <w:p w14:paraId="2DAB1A01">
      <w:pPr>
        <w:ind w:firstLine="480"/>
        <w:rPr>
          <w:rFonts w:ascii="仿宋" w:hAnsi="仿宋"/>
          <w:sz w:val="24"/>
        </w:rPr>
      </w:pPr>
      <w:r>
        <w:rPr>
          <w:rFonts w:ascii="仿宋" w:hAnsi="仿宋"/>
          <w:sz w:val="24"/>
        </w:rPr>
        <w:t>（10）庄河港国际客运站升级改造工程</w:t>
      </w:r>
    </w:p>
    <w:p w14:paraId="18116A90">
      <w:pPr>
        <w:ind w:firstLine="480"/>
        <w:rPr>
          <w:rFonts w:ascii="仿宋" w:hAnsi="仿宋"/>
          <w:sz w:val="24"/>
        </w:rPr>
      </w:pPr>
      <w:r>
        <w:rPr>
          <w:rFonts w:ascii="仿宋" w:hAnsi="仿宋"/>
          <w:sz w:val="24"/>
        </w:rPr>
        <w:t>为保证国际航线的开通，计划对庄河港客运站二楼的国际客运进行施工，总投资约1000</w:t>
      </w:r>
      <w:r>
        <w:rPr>
          <w:rFonts w:hint="eastAsia" w:ascii="仿宋" w:hAnsi="仿宋"/>
          <w:sz w:val="24"/>
          <w:lang w:eastAsia="zh-CN"/>
        </w:rPr>
        <w:t>万元</w:t>
      </w:r>
      <w:r>
        <w:rPr>
          <w:rFonts w:ascii="仿宋" w:hAnsi="仿宋"/>
          <w:sz w:val="24"/>
        </w:rPr>
        <w:t>。</w:t>
      </w:r>
    </w:p>
    <w:p w14:paraId="6F31D3C0">
      <w:pPr>
        <w:ind w:firstLine="480"/>
        <w:rPr>
          <w:rFonts w:ascii="仿宋" w:hAnsi="仿宋"/>
          <w:sz w:val="24"/>
        </w:rPr>
      </w:pPr>
      <w:r>
        <w:rPr>
          <w:rFonts w:ascii="仿宋" w:hAnsi="仿宋"/>
          <w:sz w:val="24"/>
        </w:rPr>
        <w:t>（11）庄河港将军石作业区304#</w:t>
      </w:r>
      <w:r>
        <w:rPr>
          <w:rFonts w:hint="eastAsia" w:ascii="仿宋" w:hAnsi="仿宋"/>
          <w:sz w:val="24"/>
        </w:rPr>
        <w:t>—</w:t>
      </w:r>
      <w:r>
        <w:rPr>
          <w:rFonts w:ascii="仿宋" w:hAnsi="仿宋"/>
          <w:sz w:val="24"/>
        </w:rPr>
        <w:t>308#泊位工程</w:t>
      </w:r>
    </w:p>
    <w:p w14:paraId="65956ADA">
      <w:pPr>
        <w:ind w:firstLine="480"/>
        <w:rPr>
          <w:rFonts w:ascii="仿宋" w:hAnsi="仿宋"/>
          <w:sz w:val="24"/>
        </w:rPr>
      </w:pPr>
      <w:r>
        <w:rPr>
          <w:rFonts w:ascii="仿宋" w:hAnsi="仿宋"/>
          <w:sz w:val="24"/>
        </w:rPr>
        <w:t>为满足庄河本地及周边地区经济发展所需的原材料、产成品运输需求。建设3个3.5万吨级通用泊位，2个5万吨级通用泊位及其配套设施。形成码头岸线1150米，陆域纵深780米。总投资约14亿。本工程的建设是为了后方木材家具和腹地产业服务，有利于招商引资。</w:t>
      </w:r>
    </w:p>
    <w:p w14:paraId="30312203">
      <w:pPr>
        <w:ind w:firstLine="480"/>
        <w:rPr>
          <w:rFonts w:ascii="仿宋" w:hAnsi="仿宋"/>
          <w:sz w:val="24"/>
        </w:rPr>
      </w:pPr>
      <w:r>
        <w:rPr>
          <w:rFonts w:ascii="仿宋" w:hAnsi="仿宋"/>
          <w:sz w:val="24"/>
        </w:rPr>
        <w:t>（12）大连港庄河港区将军石作业区301#</w:t>
      </w:r>
      <w:r>
        <w:rPr>
          <w:rFonts w:hint="eastAsia" w:ascii="仿宋" w:hAnsi="仿宋"/>
          <w:sz w:val="24"/>
        </w:rPr>
        <w:t>—</w:t>
      </w:r>
      <w:r>
        <w:rPr>
          <w:rFonts w:ascii="仿宋" w:hAnsi="仿宋"/>
          <w:sz w:val="24"/>
        </w:rPr>
        <w:t>303#泊位工程</w:t>
      </w:r>
    </w:p>
    <w:p w14:paraId="7B6E7695">
      <w:pPr>
        <w:ind w:firstLine="480"/>
        <w:rPr>
          <w:rFonts w:ascii="仿宋" w:hAnsi="仿宋"/>
          <w:sz w:val="24"/>
        </w:rPr>
      </w:pPr>
      <w:r>
        <w:rPr>
          <w:rFonts w:ascii="仿宋" w:hAnsi="仿宋"/>
          <w:sz w:val="24"/>
        </w:rPr>
        <w:t>新建1个5千吨级和2个3万吨级通用泊位，总投资87709万元。该工程的建成将极大</w:t>
      </w:r>
      <w:r>
        <w:rPr>
          <w:rFonts w:hint="eastAsia" w:ascii="仿宋" w:hAnsi="仿宋"/>
          <w:sz w:val="24"/>
          <w:lang w:eastAsia="zh-CN"/>
        </w:rPr>
        <w:t>地</w:t>
      </w:r>
      <w:r>
        <w:rPr>
          <w:rFonts w:ascii="仿宋" w:hAnsi="仿宋"/>
          <w:sz w:val="24"/>
        </w:rPr>
        <w:t>带动庄河腹地家具产业的发展，其后方建有熏蒸区，是全国八个进口木材熏蒸处理基地之一。</w:t>
      </w:r>
    </w:p>
    <w:p w14:paraId="52E21501">
      <w:pPr>
        <w:pStyle w:val="4"/>
        <w:spacing w:before="120" w:beforeLines="50" w:after="0" w:line="360" w:lineRule="auto"/>
        <w:ind w:firstLine="0" w:firstLineChars="0"/>
        <w:rPr>
          <w:rFonts w:ascii="Times New Roman" w:hAnsi="Times New Roman"/>
          <w:b w:val="0"/>
          <w:bCs/>
          <w:sz w:val="28"/>
          <w:szCs w:val="28"/>
        </w:rPr>
      </w:pPr>
      <w:bookmarkStart w:id="24" w:name="_Toc72258220"/>
      <w:bookmarkStart w:id="25" w:name="_Toc435435225"/>
      <w:bookmarkStart w:id="26" w:name="_Toc432606072"/>
      <w:r>
        <w:rPr>
          <w:rFonts w:ascii="Times New Roman" w:hAnsi="Times New Roman"/>
          <w:b w:val="0"/>
          <w:bCs/>
          <w:sz w:val="28"/>
          <w:szCs w:val="28"/>
        </w:rPr>
        <w:t>（</w:t>
      </w:r>
      <w:r>
        <w:rPr>
          <w:rFonts w:hint="eastAsia" w:ascii="Times New Roman" w:hAnsi="Times New Roman"/>
          <w:b w:val="0"/>
          <w:bCs/>
          <w:sz w:val="28"/>
          <w:szCs w:val="28"/>
        </w:rPr>
        <w:t>六</w:t>
      </w:r>
      <w:r>
        <w:rPr>
          <w:rFonts w:ascii="Times New Roman" w:hAnsi="Times New Roman"/>
          <w:b w:val="0"/>
          <w:bCs/>
          <w:sz w:val="28"/>
          <w:szCs w:val="28"/>
        </w:rPr>
        <w:t>）抓好铁路建设，促进区域协调</w:t>
      </w:r>
      <w:bookmarkEnd w:id="24"/>
    </w:p>
    <w:p w14:paraId="464CBA87">
      <w:pPr>
        <w:ind w:firstLine="482"/>
        <w:rPr>
          <w:rFonts w:ascii="仿宋" w:hAnsi="仿宋"/>
          <w:b/>
          <w:sz w:val="24"/>
        </w:rPr>
      </w:pPr>
      <w:r>
        <w:rPr>
          <w:rFonts w:ascii="仿宋" w:hAnsi="仿宋"/>
          <w:b/>
          <w:sz w:val="24"/>
        </w:rPr>
        <w:t>1. 铁路干线规划</w:t>
      </w:r>
    </w:p>
    <w:p w14:paraId="089CADDB">
      <w:pPr>
        <w:ind w:firstLine="482"/>
        <w:rPr>
          <w:rFonts w:ascii="仿宋" w:hAnsi="仿宋"/>
          <w:sz w:val="24"/>
        </w:rPr>
      </w:pPr>
      <w:r>
        <w:rPr>
          <w:rFonts w:ascii="仿宋" w:hAnsi="仿宋"/>
          <w:b/>
          <w:sz w:val="24"/>
        </w:rPr>
        <w:t>推动建立辽中南地区对接京津冀、连通东北腹地的立体化综合交通体系</w:t>
      </w:r>
      <w:r>
        <w:rPr>
          <w:rFonts w:ascii="仿宋" w:hAnsi="仿宋"/>
          <w:sz w:val="24"/>
        </w:rPr>
        <w:t>。规划建设庄营快铁，线路初拟路径118.7公里，由丹大快铁庄河北站引出，设太平岭站（15.9km）、蓉花山站（25.7km）、步云山站（40.3km）、卧龙泉站（66.9km）、榜式堡站（85.9km）、汤池站（99.1km），接入哈大高铁营口东站（118.7km）。</w:t>
      </w:r>
    </w:p>
    <w:p w14:paraId="7DC651BE">
      <w:pPr>
        <w:ind w:firstLine="482"/>
        <w:rPr>
          <w:rFonts w:ascii="仿宋" w:hAnsi="仿宋"/>
          <w:sz w:val="24"/>
        </w:rPr>
      </w:pPr>
      <w:r>
        <w:rPr>
          <w:rFonts w:ascii="仿宋" w:hAnsi="仿宋"/>
          <w:b/>
          <w:sz w:val="24"/>
        </w:rPr>
        <w:t>加强百强县互联互通、助推地方经济高质量发展</w:t>
      </w:r>
      <w:r>
        <w:rPr>
          <w:rFonts w:ascii="仿宋" w:hAnsi="仿宋"/>
          <w:sz w:val="24"/>
        </w:rPr>
        <w:t>。规划建设庄海铁路提级项目，将原有的“单线运行”升级为“双线运行”，行车速度由80公里/小时提高到250公里/小时。</w:t>
      </w:r>
    </w:p>
    <w:p w14:paraId="3C3AE627">
      <w:pPr>
        <w:ind w:firstLine="482"/>
        <w:rPr>
          <w:rFonts w:ascii="仿宋" w:hAnsi="仿宋"/>
          <w:b/>
          <w:sz w:val="24"/>
        </w:rPr>
      </w:pPr>
      <w:r>
        <w:rPr>
          <w:rFonts w:ascii="仿宋" w:hAnsi="仿宋"/>
          <w:b/>
          <w:sz w:val="24"/>
        </w:rPr>
        <w:t>2. 铁路专线规划</w:t>
      </w:r>
    </w:p>
    <w:p w14:paraId="3A9C3106">
      <w:pPr>
        <w:ind w:firstLine="482"/>
        <w:rPr>
          <w:rFonts w:ascii="仿宋" w:hAnsi="仿宋"/>
          <w:sz w:val="24"/>
        </w:rPr>
      </w:pPr>
      <w:bookmarkStart w:id="27" w:name="_Hlk44187972"/>
      <w:r>
        <w:rPr>
          <w:rFonts w:ascii="仿宋" w:hAnsi="仿宋"/>
          <w:b/>
          <w:sz w:val="24"/>
        </w:rPr>
        <w:t>解决庄河港区与东北铁路网联通能力不足问题，抓住东北振兴和沿海开放双重机遇。</w:t>
      </w:r>
      <w:r>
        <w:rPr>
          <w:rFonts w:ascii="仿宋" w:hAnsi="仿宋"/>
          <w:sz w:val="24"/>
        </w:rPr>
        <w:t>规划建设庄河港铁路专用线，从庄河西站至庄河港站（</w:t>
      </w:r>
      <w:bookmarkStart w:id="28" w:name="_Hlk49774661"/>
      <w:r>
        <w:rPr>
          <w:rFonts w:ascii="仿宋" w:hAnsi="仿宋"/>
          <w:sz w:val="24"/>
        </w:rPr>
        <w:t>庄河疏港铁路</w:t>
      </w:r>
      <w:bookmarkEnd w:id="28"/>
      <w:r>
        <w:rPr>
          <w:rFonts w:ascii="仿宋" w:hAnsi="仿宋"/>
          <w:sz w:val="24"/>
        </w:rPr>
        <w:t>），工程正线长度14公里，联通丹大快铁庄河西站和庄河港将军石作业区。规划建设庄河电厂铁路专用线，从兰店至庄河电厂，工程正线长度22公里，联通丹大快铁兰店站庄河港黑岛作业区。</w:t>
      </w:r>
    </w:p>
    <w:p w14:paraId="15117844">
      <w:pPr>
        <w:ind w:firstLineChars="0"/>
        <w:jc w:val="center"/>
        <w:rPr>
          <w:rFonts w:eastAsia="宋体"/>
          <w:szCs w:val="28"/>
        </w:rPr>
      </w:pPr>
      <w:r>
        <w:rPr>
          <w:rFonts w:eastAsia="宋体"/>
          <w:szCs w:val="28"/>
        </w:rPr>
        <w:drawing>
          <wp:inline distT="0" distB="0" distL="0" distR="0">
            <wp:extent cx="4715510" cy="2922270"/>
            <wp:effectExtent l="0" t="0" r="889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5"/>
                    <a:srcRect l="23473" t="22238" r="22924" b="9606"/>
                    <a:stretch>
                      <a:fillRect/>
                    </a:stretch>
                  </pic:blipFill>
                  <pic:spPr>
                    <a:xfrm>
                      <a:off x="0" y="0"/>
                      <a:ext cx="4732193" cy="2932810"/>
                    </a:xfrm>
                    <a:prstGeom prst="rect">
                      <a:avLst/>
                    </a:prstGeom>
                    <a:ln>
                      <a:noFill/>
                    </a:ln>
                  </pic:spPr>
                </pic:pic>
              </a:graphicData>
            </a:graphic>
          </wp:inline>
        </w:drawing>
      </w:r>
    </w:p>
    <w:p w14:paraId="5A3F8E4F">
      <w:pPr>
        <w:widowControl/>
        <w:ind w:firstLine="149" w:firstLineChars="71"/>
        <w:jc w:val="center"/>
        <w:rPr>
          <w:rFonts w:ascii="宋体" w:hAnsi="宋体" w:eastAsia="宋体"/>
          <w:bCs/>
          <w:sz w:val="21"/>
          <w:szCs w:val="21"/>
        </w:rPr>
      </w:pPr>
      <w:r>
        <w:rPr>
          <w:rFonts w:ascii="宋体" w:hAnsi="宋体" w:eastAsia="宋体"/>
          <w:bCs/>
          <w:sz w:val="21"/>
          <w:szCs w:val="21"/>
        </w:rPr>
        <w:t>图13 干线和专线铁路布局图</w:t>
      </w:r>
    </w:p>
    <w:bookmarkEnd w:id="27"/>
    <w:p w14:paraId="53436316">
      <w:pPr>
        <w:pStyle w:val="4"/>
        <w:spacing w:before="120" w:beforeLines="50" w:after="0" w:line="360" w:lineRule="auto"/>
        <w:ind w:firstLine="0" w:firstLineChars="0"/>
        <w:rPr>
          <w:rFonts w:ascii="Times New Roman" w:hAnsi="Times New Roman"/>
          <w:b w:val="0"/>
          <w:bCs/>
          <w:sz w:val="28"/>
          <w:szCs w:val="28"/>
        </w:rPr>
      </w:pPr>
      <w:bookmarkStart w:id="29" w:name="_Toc151452604"/>
      <w:bookmarkStart w:id="30" w:name="_Toc150318068"/>
      <w:bookmarkStart w:id="31" w:name="_Toc150689278"/>
      <w:bookmarkStart w:id="32" w:name="_Toc313723571"/>
      <w:bookmarkStart w:id="33" w:name="_Toc150523177"/>
      <w:bookmarkStart w:id="34" w:name="_Toc72258221"/>
      <w:r>
        <w:rPr>
          <w:rFonts w:ascii="Times New Roman" w:hAnsi="Times New Roman"/>
          <w:b w:val="0"/>
          <w:bCs/>
          <w:sz w:val="28"/>
          <w:szCs w:val="28"/>
        </w:rPr>
        <w:t>（</w:t>
      </w:r>
      <w:r>
        <w:rPr>
          <w:rFonts w:hint="eastAsia" w:ascii="Times New Roman" w:hAnsi="Times New Roman"/>
          <w:b w:val="0"/>
          <w:bCs/>
          <w:sz w:val="28"/>
          <w:szCs w:val="28"/>
        </w:rPr>
        <w:t>七</w:t>
      </w:r>
      <w:r>
        <w:rPr>
          <w:rFonts w:ascii="Times New Roman" w:hAnsi="Times New Roman"/>
          <w:b w:val="0"/>
          <w:bCs/>
          <w:sz w:val="28"/>
          <w:szCs w:val="28"/>
        </w:rPr>
        <w:t>）推进港口设施加速建设、加大集疏运</w:t>
      </w:r>
      <w:bookmarkEnd w:id="29"/>
      <w:bookmarkEnd w:id="30"/>
      <w:bookmarkEnd w:id="31"/>
      <w:bookmarkEnd w:id="32"/>
      <w:bookmarkEnd w:id="33"/>
      <w:r>
        <w:rPr>
          <w:rFonts w:ascii="Times New Roman" w:hAnsi="Times New Roman"/>
          <w:b w:val="0"/>
          <w:bCs/>
          <w:sz w:val="28"/>
          <w:szCs w:val="28"/>
        </w:rPr>
        <w:t>体系建设</w:t>
      </w:r>
      <w:bookmarkEnd w:id="34"/>
    </w:p>
    <w:p w14:paraId="5B3D1C88">
      <w:pPr>
        <w:ind w:firstLine="482"/>
        <w:rPr>
          <w:rFonts w:ascii="仿宋" w:hAnsi="仿宋"/>
          <w:sz w:val="24"/>
        </w:rPr>
      </w:pPr>
      <w:r>
        <w:rPr>
          <w:rFonts w:ascii="仿宋" w:hAnsi="仿宋"/>
          <w:b/>
          <w:sz w:val="24"/>
        </w:rPr>
        <w:t>全面构建以港口为核心的多功能、开放式、陆海一体化的集疏运体系</w:t>
      </w:r>
      <w:r>
        <w:rPr>
          <w:rFonts w:ascii="仿宋" w:hAnsi="仿宋"/>
          <w:sz w:val="24"/>
        </w:rPr>
        <w:t>。规划建设庄岫辽高速公路，将军石作业区港内主干路形成“三纵三横”网状布局，庄河西部临港区域建设铁路货运站，庄河港铁路支线和庄河电厂铁路支线。</w:t>
      </w:r>
    </w:p>
    <w:p w14:paraId="527C6991">
      <w:pPr>
        <w:ind w:firstLine="482"/>
        <w:rPr>
          <w:rFonts w:ascii="仿宋" w:hAnsi="仿宋"/>
          <w:sz w:val="24"/>
        </w:rPr>
      </w:pPr>
      <w:r>
        <w:rPr>
          <w:rFonts w:ascii="仿宋" w:hAnsi="仿宋"/>
          <w:b/>
          <w:sz w:val="24"/>
        </w:rPr>
        <w:t>坚持港产城融合发展，大力提升港口、航线和口岸服务功能</w:t>
      </w:r>
      <w:r>
        <w:rPr>
          <w:rFonts w:ascii="仿宋" w:hAnsi="仿宋"/>
          <w:sz w:val="24"/>
        </w:rPr>
        <w:t>。开通庄河到韩国仁川、平泽和日本舞鹤的海上国际客滚航线，争取开通更多至东南沿海和华北的国内航线，逐步加大庄河到大窑湾港的集装箱航班密度，积极探索开通庄河港至韩国釜山、日本北九州、新加坡等国际近洋航线，实现集装箱由庄河港起运到大窑湾港或其他港口中转。大力发展至东北三省及蒙东地区的公路、铁路运输，推动多式联运，打通新的陆海物流通道。</w:t>
      </w:r>
    </w:p>
    <w:p w14:paraId="09EAC98E">
      <w:pPr>
        <w:ind w:firstLine="198" w:firstLineChars="71"/>
        <w:jc w:val="center"/>
        <w:rPr>
          <w:rFonts w:eastAsia="宋体"/>
          <w:szCs w:val="28"/>
        </w:rPr>
      </w:pPr>
      <w:r>
        <w:rPr>
          <w:rFonts w:eastAsia="宋体"/>
          <w:szCs w:val="28"/>
        </w:rPr>
        <w:drawing>
          <wp:inline distT="0" distB="0" distL="0" distR="0">
            <wp:extent cx="4804410" cy="311277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26" cstate="print">
                      <a:extLst>
                        <a:ext uri="{28A0092B-C50C-407E-A947-70E740481C1C}">
                          <a14:useLocalDpi xmlns:a14="http://schemas.microsoft.com/office/drawing/2010/main" val="0"/>
                        </a:ext>
                      </a:extLst>
                    </a:blip>
                    <a:srcRect l="5215" t="8927" r="3600" b="8912"/>
                    <a:stretch>
                      <a:fillRect/>
                    </a:stretch>
                  </pic:blipFill>
                  <pic:spPr>
                    <a:xfrm>
                      <a:off x="0" y="0"/>
                      <a:ext cx="4805910" cy="3113642"/>
                    </a:xfrm>
                    <a:prstGeom prst="rect">
                      <a:avLst/>
                    </a:prstGeom>
                    <a:noFill/>
                    <a:ln>
                      <a:noFill/>
                    </a:ln>
                  </pic:spPr>
                </pic:pic>
              </a:graphicData>
            </a:graphic>
          </wp:inline>
        </w:drawing>
      </w:r>
    </w:p>
    <w:p w14:paraId="764973D1">
      <w:pPr>
        <w:widowControl/>
        <w:ind w:firstLineChars="0"/>
        <w:jc w:val="center"/>
        <w:rPr>
          <w:rFonts w:ascii="宋体" w:hAnsi="宋体" w:eastAsia="宋体"/>
          <w:bCs/>
          <w:sz w:val="21"/>
          <w:szCs w:val="21"/>
        </w:rPr>
      </w:pPr>
      <w:r>
        <w:rPr>
          <w:rFonts w:ascii="宋体" w:hAnsi="宋体" w:eastAsia="宋体"/>
          <w:bCs/>
          <w:sz w:val="21"/>
          <w:szCs w:val="21"/>
        </w:rPr>
        <w:t>图14 集疏运通道规划图</w:t>
      </w:r>
      <w:bookmarkEnd w:id="25"/>
      <w:bookmarkEnd w:id="26"/>
    </w:p>
    <w:p w14:paraId="75B02FBC">
      <w:pPr>
        <w:pStyle w:val="2"/>
        <w:ind w:firstLine="560"/>
      </w:pPr>
    </w:p>
    <w:p w14:paraId="03242F52">
      <w:pPr>
        <w:pStyle w:val="4"/>
        <w:spacing w:before="120" w:beforeLines="50" w:after="0" w:line="360" w:lineRule="auto"/>
        <w:ind w:firstLine="0" w:firstLineChars="0"/>
        <w:rPr>
          <w:rFonts w:ascii="Times New Roman" w:hAnsi="Times New Roman"/>
          <w:b w:val="0"/>
          <w:bCs/>
          <w:sz w:val="28"/>
          <w:szCs w:val="28"/>
        </w:rPr>
      </w:pPr>
      <w:bookmarkStart w:id="35" w:name="_Toc72258222"/>
      <w:r>
        <w:rPr>
          <w:rFonts w:hint="eastAsia" w:ascii="Times New Roman" w:hAnsi="Times New Roman"/>
          <w:b w:val="0"/>
          <w:bCs/>
          <w:sz w:val="28"/>
          <w:szCs w:val="28"/>
        </w:rPr>
        <w:t>（八）智慧交通规划方案</w:t>
      </w:r>
      <w:bookmarkEnd w:id="35"/>
    </w:p>
    <w:p w14:paraId="1E37FF2F">
      <w:pPr>
        <w:ind w:firstLine="480"/>
        <w:rPr>
          <w:rFonts w:ascii="仿宋" w:hAnsi="仿宋"/>
          <w:sz w:val="24"/>
        </w:rPr>
      </w:pPr>
      <w:bookmarkStart w:id="36" w:name="_Toc470086375"/>
      <w:r>
        <w:rPr>
          <w:rFonts w:hint="eastAsia" w:ascii="仿宋" w:hAnsi="仿宋"/>
          <w:sz w:val="24"/>
        </w:rPr>
        <w:t>1</w:t>
      </w:r>
      <w:r>
        <w:rPr>
          <w:rFonts w:ascii="仿宋" w:hAnsi="仿宋"/>
          <w:sz w:val="24"/>
        </w:rPr>
        <w:t xml:space="preserve">. </w:t>
      </w:r>
      <w:r>
        <w:rPr>
          <w:rFonts w:hint="eastAsia" w:ascii="仿宋" w:hAnsi="仿宋"/>
          <w:sz w:val="24"/>
        </w:rPr>
        <w:t>项目建设内容</w:t>
      </w:r>
      <w:bookmarkEnd w:id="36"/>
    </w:p>
    <w:p w14:paraId="65456FDD">
      <w:pPr>
        <w:ind w:firstLine="480"/>
        <w:rPr>
          <w:rFonts w:ascii="仿宋" w:hAnsi="仿宋"/>
          <w:sz w:val="24"/>
        </w:rPr>
      </w:pPr>
      <w:r>
        <w:rPr>
          <w:rFonts w:hint="eastAsia" w:ascii="仿宋" w:hAnsi="仿宋"/>
          <w:sz w:val="24"/>
        </w:rPr>
        <w:t>庄河市智慧交通以云计算、物联网、大数据等新一代信息技术为支撑，以庄河市智慧城市公共数据中心、公共信息平台、运营指挥中心为依托，以综合交通动态监测、交通运输综合管理、智慧出行服务三大应用为主导，逐步整合建设交通运输系统信息化基础设施和交通信息资源大数据，逐步推进综合交通运行监测与预警系统、综合交通视频监控系统、互联网综合服务系统、综合查询分析系统、运输企业监管系统、公交智能调度系统、电子站牌信息服务、电子站牌运维管理系统和手机终端智能信息服务系统建设，为行业管理提供科学决策和应急指挥调度的信息化支撑，为公众提供人性化、便捷化、综合化、智慧化的交通出行服务，为政府、企业和公众提供相应的服务。</w:t>
      </w:r>
    </w:p>
    <w:p w14:paraId="33E14E33">
      <w:pPr>
        <w:ind w:firstLine="480"/>
        <w:rPr>
          <w:rFonts w:ascii="仿宋" w:hAnsi="仿宋"/>
          <w:sz w:val="24"/>
        </w:rPr>
      </w:pPr>
      <w:r>
        <w:rPr>
          <w:rFonts w:hint="eastAsia" w:ascii="仿宋" w:hAnsi="仿宋"/>
          <w:sz w:val="24"/>
        </w:rPr>
        <w:t>项目建设内容主要包括交通信息基础设施建设、数据环境建设和智慧应用建设三部分。</w:t>
      </w:r>
    </w:p>
    <w:p w14:paraId="6581B6FE">
      <w:pPr>
        <w:ind w:firstLine="480"/>
        <w:rPr>
          <w:rFonts w:ascii="仿宋" w:hAnsi="仿宋"/>
          <w:sz w:val="24"/>
        </w:rPr>
      </w:pPr>
      <w:r>
        <w:rPr>
          <w:rFonts w:hint="eastAsia" w:ascii="仿宋" w:hAnsi="仿宋"/>
          <w:sz w:val="24"/>
        </w:rPr>
        <w:t>（1）基础设施建设</w:t>
      </w:r>
    </w:p>
    <w:p w14:paraId="3C561E84">
      <w:pPr>
        <w:ind w:firstLine="480"/>
        <w:rPr>
          <w:rFonts w:ascii="仿宋" w:hAnsi="仿宋"/>
          <w:sz w:val="24"/>
        </w:rPr>
      </w:pPr>
      <w:r>
        <w:rPr>
          <w:rFonts w:hint="eastAsia" w:ascii="仿宋" w:hAnsi="仿宋"/>
          <w:sz w:val="24"/>
        </w:rPr>
        <w:t>购置硬件2186台（套/个），包括：公交智能车载终端304台、公交车载半球摄像头1520个、公交无线WIFI车载终端304个、公交电子站牌58套；另有硬件135台（个）由公共数据中心购置，2台（套）由运营指挥中心购置。</w:t>
      </w:r>
    </w:p>
    <w:p w14:paraId="4EDD8B8A">
      <w:pPr>
        <w:ind w:firstLine="480"/>
        <w:rPr>
          <w:rFonts w:ascii="仿宋" w:hAnsi="仿宋"/>
          <w:sz w:val="24"/>
        </w:rPr>
      </w:pPr>
      <w:r>
        <w:rPr>
          <w:rFonts w:hint="eastAsia" w:ascii="仿宋" w:hAnsi="仿宋"/>
          <w:sz w:val="24"/>
        </w:rPr>
        <w:t>另有数据库平台3套由公共数据中心统一考虑。</w:t>
      </w:r>
    </w:p>
    <w:p w14:paraId="243F01F4">
      <w:pPr>
        <w:ind w:firstLine="480"/>
        <w:rPr>
          <w:rFonts w:ascii="仿宋" w:hAnsi="仿宋"/>
          <w:sz w:val="24"/>
        </w:rPr>
      </w:pPr>
      <w:r>
        <w:rPr>
          <w:rFonts w:hint="eastAsia" w:ascii="仿宋" w:hAnsi="仿宋"/>
          <w:sz w:val="24"/>
        </w:rPr>
        <w:t>（2）数据环境建设</w:t>
      </w:r>
    </w:p>
    <w:p w14:paraId="203AB8CC">
      <w:pPr>
        <w:ind w:firstLine="480"/>
        <w:rPr>
          <w:rFonts w:ascii="仿宋" w:hAnsi="仿宋"/>
          <w:sz w:val="24"/>
        </w:rPr>
      </w:pPr>
      <w:r>
        <w:rPr>
          <w:rFonts w:hint="eastAsia" w:ascii="仿宋" w:hAnsi="仿宋"/>
          <w:sz w:val="24"/>
        </w:rPr>
        <w:t>数据环境建设由交通局现有数据提供。</w:t>
      </w:r>
    </w:p>
    <w:p w14:paraId="07D024B5">
      <w:pPr>
        <w:ind w:firstLine="480"/>
        <w:rPr>
          <w:rFonts w:ascii="仿宋" w:hAnsi="仿宋"/>
          <w:sz w:val="24"/>
        </w:rPr>
      </w:pPr>
      <w:r>
        <w:rPr>
          <w:rFonts w:hint="eastAsia" w:ascii="仿宋" w:hAnsi="仿宋"/>
          <w:sz w:val="24"/>
        </w:rPr>
        <w:t>（3）智慧应用建设</w:t>
      </w:r>
    </w:p>
    <w:p w14:paraId="571CE8E1">
      <w:pPr>
        <w:ind w:firstLine="480"/>
        <w:rPr>
          <w:rFonts w:ascii="仿宋" w:hAnsi="仿宋"/>
          <w:sz w:val="24"/>
        </w:rPr>
      </w:pPr>
      <w:r>
        <w:rPr>
          <w:rFonts w:hint="eastAsia" w:ascii="仿宋" w:hAnsi="仿宋"/>
          <w:sz w:val="24"/>
        </w:rPr>
        <w:t>开发软件9套，包括：公交智能调度系统1套、电子站牌信息服务系统1套、电子站牌运维管理系统1套、手机终端智能信息服务系统1套、综合交通运行监测与预警系统1套、综合交通视频监控系统1套、互联网综合服务系统1套、综合查询分析系统1套、运输企业监管系统1套。</w:t>
      </w:r>
    </w:p>
    <w:p w14:paraId="0B1ED144">
      <w:pPr>
        <w:ind w:firstLine="480"/>
        <w:rPr>
          <w:rFonts w:ascii="仿宋" w:hAnsi="仿宋"/>
          <w:sz w:val="24"/>
        </w:rPr>
      </w:pPr>
      <w:bookmarkStart w:id="37" w:name="_Toc470086376"/>
      <w:r>
        <w:rPr>
          <w:rFonts w:hint="eastAsia" w:ascii="仿宋" w:hAnsi="仿宋"/>
          <w:sz w:val="24"/>
        </w:rPr>
        <w:t>2</w:t>
      </w:r>
      <w:r>
        <w:rPr>
          <w:rFonts w:ascii="仿宋" w:hAnsi="仿宋"/>
          <w:sz w:val="24"/>
        </w:rPr>
        <w:t xml:space="preserve">. </w:t>
      </w:r>
      <w:r>
        <w:rPr>
          <w:rFonts w:hint="eastAsia" w:ascii="仿宋" w:hAnsi="仿宋"/>
          <w:sz w:val="24"/>
        </w:rPr>
        <w:t>投资规模</w:t>
      </w:r>
      <w:bookmarkEnd w:id="37"/>
    </w:p>
    <w:p w14:paraId="384EC2CB">
      <w:pPr>
        <w:ind w:firstLine="480"/>
        <w:rPr>
          <w:rFonts w:ascii="仿宋" w:hAnsi="仿宋"/>
          <w:sz w:val="24"/>
        </w:rPr>
      </w:pPr>
      <w:r>
        <w:rPr>
          <w:rFonts w:hint="eastAsia" w:ascii="仿宋" w:hAnsi="仿宋"/>
          <w:sz w:val="24"/>
        </w:rPr>
        <w:t>智慧交通建设项目总投资2329.76万元，全部为政府投资，其中工程费用为2079.00万元，工程建设其他费用182.28万元，预备费为67.86万元。</w:t>
      </w:r>
    </w:p>
    <w:p w14:paraId="441CAFC4">
      <w:pPr>
        <w:pStyle w:val="2"/>
        <w:ind w:firstLine="560"/>
        <w:sectPr>
          <w:pgSz w:w="11906" w:h="16838"/>
          <w:pgMar w:top="1440" w:right="1797" w:bottom="1440" w:left="1797" w:header="851" w:footer="992" w:gutter="0"/>
          <w:cols w:space="425" w:num="1"/>
          <w:docGrid w:linePitch="312" w:charSpace="0"/>
        </w:sectPr>
      </w:pPr>
    </w:p>
    <w:p w14:paraId="7FF137E6">
      <w:pPr>
        <w:pStyle w:val="3"/>
        <w:spacing w:before="0" w:after="220" w:line="360" w:lineRule="auto"/>
        <w:jc w:val="left"/>
        <w:rPr>
          <w:rFonts w:ascii="Times New Roman" w:hAnsi="Times New Roman" w:eastAsia="黑体" w:cs="Times New Roman"/>
          <w:b w:val="0"/>
          <w:sz w:val="30"/>
          <w:szCs w:val="30"/>
        </w:rPr>
      </w:pPr>
      <w:bookmarkStart w:id="38" w:name="_Toc72258223"/>
      <w:r>
        <w:rPr>
          <w:rFonts w:ascii="Times New Roman" w:hAnsi="Times New Roman" w:eastAsia="黑体" w:cs="Times New Roman"/>
          <w:b w:val="0"/>
          <w:sz w:val="30"/>
          <w:szCs w:val="30"/>
        </w:rPr>
        <w:t>四、路网规划实施方案</w:t>
      </w:r>
      <w:bookmarkEnd w:id="38"/>
    </w:p>
    <w:p w14:paraId="63FA5E99">
      <w:pPr>
        <w:ind w:firstLine="482"/>
        <w:rPr>
          <w:rFonts w:ascii="仿宋" w:hAnsi="仿宋"/>
          <w:b/>
          <w:sz w:val="24"/>
        </w:rPr>
      </w:pPr>
      <w:r>
        <w:rPr>
          <w:rFonts w:ascii="仿宋" w:hAnsi="仿宋"/>
          <w:b/>
          <w:sz w:val="24"/>
        </w:rPr>
        <w:t>1. 高速公路建设方案</w:t>
      </w:r>
    </w:p>
    <w:p w14:paraId="170C1117">
      <w:pPr>
        <w:ind w:firstLine="482"/>
        <w:rPr>
          <w:rFonts w:ascii="仿宋" w:hAnsi="仿宋"/>
          <w:sz w:val="24"/>
        </w:rPr>
      </w:pPr>
      <w:r>
        <w:rPr>
          <w:rFonts w:ascii="仿宋" w:hAnsi="仿宋"/>
          <w:b/>
          <w:sz w:val="24"/>
        </w:rPr>
        <w:t>庄岫辽高速公路建设工程</w:t>
      </w:r>
      <w:r>
        <w:rPr>
          <w:rFonts w:ascii="仿宋" w:hAnsi="仿宋"/>
          <w:sz w:val="24"/>
        </w:rPr>
        <w:t>。从庄河至岫岩，初拟路径210公里，其中庄河市境内46公里，全部为一级公路，路基宽30米，路面宽22米，设计时速100公里，总投资约25亿元。项目</w:t>
      </w:r>
      <w:r>
        <w:rPr>
          <w:rFonts w:hint="eastAsia" w:ascii="仿宋" w:hAnsi="仿宋"/>
          <w:sz w:val="24"/>
          <w:lang w:eastAsia="zh-CN"/>
        </w:rPr>
        <w:t>投资</w:t>
      </w:r>
      <w:r>
        <w:rPr>
          <w:rFonts w:ascii="仿宋" w:hAnsi="仿宋"/>
          <w:sz w:val="24"/>
        </w:rPr>
        <w:t>184000万元，规划于2023年开工建设，2025年竣工，投入运行。</w:t>
      </w:r>
    </w:p>
    <w:p w14:paraId="44F85C59">
      <w:pPr>
        <w:ind w:firstLine="482"/>
        <w:rPr>
          <w:rFonts w:ascii="仿宋" w:hAnsi="仿宋"/>
          <w:sz w:val="24"/>
        </w:rPr>
      </w:pPr>
      <w:r>
        <w:rPr>
          <w:rFonts w:ascii="仿宋" w:hAnsi="仿宋"/>
          <w:b/>
          <w:sz w:val="24"/>
        </w:rPr>
        <w:t>永青高速公路建设工程</w:t>
      </w:r>
      <w:r>
        <w:rPr>
          <w:rFonts w:ascii="仿宋" w:hAnsi="仿宋"/>
          <w:sz w:val="24"/>
        </w:rPr>
        <w:t>。从庄河至瓦房店，建设里程96公里，全部为一级公路，项目投资115000万元，规划于2023年开工建设，2025年竣工，投入运行。</w:t>
      </w:r>
    </w:p>
    <w:p w14:paraId="06FB96A1">
      <w:pPr>
        <w:ind w:firstLine="482"/>
        <w:rPr>
          <w:rFonts w:ascii="仿宋" w:hAnsi="仿宋"/>
          <w:b/>
          <w:sz w:val="24"/>
        </w:rPr>
      </w:pPr>
      <w:r>
        <w:rPr>
          <w:rFonts w:ascii="仿宋" w:hAnsi="仿宋"/>
          <w:b/>
          <w:sz w:val="24"/>
        </w:rPr>
        <w:t>2. 国道建设方案</w:t>
      </w:r>
    </w:p>
    <w:p w14:paraId="7CCE5F39">
      <w:pPr>
        <w:ind w:firstLine="482"/>
        <w:rPr>
          <w:rFonts w:ascii="仿宋" w:hAnsi="仿宋"/>
          <w:sz w:val="24"/>
        </w:rPr>
      </w:pPr>
      <w:r>
        <w:rPr>
          <w:rFonts w:ascii="仿宋" w:hAnsi="仿宋"/>
          <w:b/>
          <w:sz w:val="24"/>
        </w:rPr>
        <w:t>G201鹤大线大中修改造工程</w:t>
      </w:r>
      <w:r>
        <w:rPr>
          <w:rFonts w:ascii="仿宋" w:hAnsi="仿宋"/>
          <w:sz w:val="24"/>
        </w:rPr>
        <w:t>。对于201国道干线公路，从栗子房，</w:t>
      </w:r>
      <w:r>
        <w:rPr>
          <w:rFonts w:hint="eastAsia" w:ascii="仿宋" w:hAnsi="仿宋"/>
          <w:sz w:val="24"/>
          <w:lang w:eastAsia="zh-CN"/>
        </w:rPr>
        <w:t>途经</w:t>
      </w:r>
      <w:r>
        <w:rPr>
          <w:rFonts w:ascii="仿宋" w:hAnsi="仿宋"/>
          <w:sz w:val="24"/>
        </w:rPr>
        <w:t>湖里河，到小沟，进行大中修改造，改造里程33公里，其中一级公路5.5公里，二级公路27.49公里。规划于2024年开工建设，2025年竣工。</w:t>
      </w:r>
    </w:p>
    <w:p w14:paraId="14280B84">
      <w:pPr>
        <w:ind w:firstLine="482"/>
        <w:rPr>
          <w:rFonts w:ascii="仿宋" w:hAnsi="仿宋"/>
          <w:sz w:val="24"/>
        </w:rPr>
      </w:pPr>
      <w:r>
        <w:rPr>
          <w:rFonts w:ascii="仿宋" w:hAnsi="仿宋"/>
          <w:b/>
          <w:sz w:val="24"/>
        </w:rPr>
        <w:t>G228丹东线大中修改造工程。</w:t>
      </w:r>
      <w:r>
        <w:rPr>
          <w:rFonts w:ascii="仿宋" w:hAnsi="仿宋"/>
          <w:sz w:val="24"/>
        </w:rPr>
        <w:t>对于228国道干线公路，从黄古咀到大郑，进行大中修改造，改造里程9公里，全为二级公路公里。规划于2022年开工建设，2023年竣工。</w:t>
      </w:r>
    </w:p>
    <w:p w14:paraId="5F4E7987">
      <w:pPr>
        <w:ind w:firstLine="482"/>
        <w:rPr>
          <w:rFonts w:ascii="仿宋" w:hAnsi="仿宋"/>
          <w:sz w:val="24"/>
        </w:rPr>
      </w:pPr>
      <w:r>
        <w:rPr>
          <w:rFonts w:ascii="仿宋" w:hAnsi="仿宋"/>
          <w:b/>
          <w:sz w:val="24"/>
        </w:rPr>
        <w:t>G305庄林线大中修改造工程。</w:t>
      </w:r>
      <w:r>
        <w:rPr>
          <w:rFonts w:ascii="仿宋" w:hAnsi="仿宋"/>
          <w:sz w:val="24"/>
        </w:rPr>
        <w:t>项目通过对305国道干线公路进行升级改造，从冯屯至同巨、同巨至小滴台段，全长60.404公里，其中一级公路2.071公里，二级公路58.333公里，计划于“十四五”期间进行大中修改造。</w:t>
      </w:r>
    </w:p>
    <w:p w14:paraId="6099212F">
      <w:pPr>
        <w:ind w:firstLine="482"/>
        <w:rPr>
          <w:rFonts w:ascii="仿宋" w:hAnsi="仿宋"/>
          <w:b/>
          <w:sz w:val="24"/>
        </w:rPr>
      </w:pPr>
      <w:r>
        <w:rPr>
          <w:rFonts w:ascii="仿宋" w:hAnsi="仿宋"/>
          <w:b/>
          <w:sz w:val="24"/>
        </w:rPr>
        <w:t>3. 省道建设方案</w:t>
      </w:r>
    </w:p>
    <w:p w14:paraId="6D9AEC8D">
      <w:pPr>
        <w:ind w:firstLine="482"/>
        <w:rPr>
          <w:rFonts w:ascii="仿宋" w:hAnsi="仿宋"/>
          <w:sz w:val="24"/>
        </w:rPr>
      </w:pPr>
      <w:r>
        <w:rPr>
          <w:rFonts w:ascii="仿宋" w:hAnsi="仿宋"/>
          <w:b/>
          <w:sz w:val="24"/>
        </w:rPr>
        <w:t>S314丹交线改扩建工程。</w:t>
      </w:r>
      <w:r>
        <w:rPr>
          <w:rFonts w:ascii="仿宋" w:hAnsi="仿宋"/>
          <w:sz w:val="24"/>
        </w:rPr>
        <w:t>对314省级干道进行改扩建，规划道路等级为二级，需要改扩建里程11.294公里，2021</w:t>
      </w:r>
      <w:r>
        <w:rPr>
          <w:rFonts w:hint="eastAsia" w:ascii="仿宋" w:hAnsi="仿宋"/>
          <w:sz w:val="24"/>
          <w:lang w:eastAsia="zh-CN"/>
        </w:rPr>
        <w:t>—2022年</w:t>
      </w:r>
      <w:r>
        <w:rPr>
          <w:rFonts w:ascii="仿宋" w:hAnsi="仿宋"/>
          <w:sz w:val="24"/>
        </w:rPr>
        <w:t>期间建设路段为小皮铺、秦家；金山村出口、栗石线；蒋岭、朱营。后续期间建设路段为孙屯、大营、福隆、城山镇、碧流河、四家村。</w:t>
      </w:r>
    </w:p>
    <w:p w14:paraId="6B71CD50">
      <w:pPr>
        <w:ind w:firstLine="482"/>
        <w:rPr>
          <w:rFonts w:ascii="仿宋" w:hAnsi="仿宋"/>
          <w:sz w:val="24"/>
        </w:rPr>
      </w:pPr>
      <w:r>
        <w:rPr>
          <w:rFonts w:ascii="仿宋" w:hAnsi="仿宋"/>
          <w:b/>
          <w:sz w:val="24"/>
        </w:rPr>
        <w:t>S315塔营线改扩建工程。</w:t>
      </w:r>
      <w:r>
        <w:rPr>
          <w:rFonts w:hint="eastAsia" w:ascii="仿宋" w:hAnsi="仿宋"/>
          <w:sz w:val="24"/>
          <w:lang w:eastAsia="zh-CN"/>
        </w:rPr>
        <w:t>对</w:t>
      </w:r>
      <w:r>
        <w:rPr>
          <w:rFonts w:ascii="仿宋" w:hAnsi="仿宋"/>
          <w:sz w:val="24"/>
        </w:rPr>
        <w:t>315省级干道进行改扩建，规划道路等级为二级，需要大中修里程为4.499公里，建设路段为大河沿、猫儿岭。规划于2024年开工建设，2025年竣工，投入运行。</w:t>
      </w:r>
    </w:p>
    <w:p w14:paraId="7AE4F209">
      <w:pPr>
        <w:ind w:firstLine="482"/>
        <w:rPr>
          <w:rFonts w:ascii="仿宋" w:hAnsi="仿宋"/>
          <w:sz w:val="24"/>
        </w:rPr>
      </w:pPr>
      <w:r>
        <w:rPr>
          <w:rFonts w:ascii="仿宋" w:hAnsi="仿宋"/>
          <w:b/>
          <w:sz w:val="24"/>
        </w:rPr>
        <w:t>S316青永线大中修改造工程。</w:t>
      </w:r>
      <w:r>
        <w:rPr>
          <w:rFonts w:hint="eastAsia" w:ascii="仿宋" w:hAnsi="仿宋"/>
          <w:sz w:val="24"/>
          <w:lang w:eastAsia="zh-CN"/>
        </w:rPr>
        <w:t>对</w:t>
      </w:r>
      <w:r>
        <w:rPr>
          <w:rFonts w:ascii="仿宋" w:hAnsi="仿宋"/>
          <w:sz w:val="24"/>
        </w:rPr>
        <w:t>316省级干道进行大中修，规划道路等级为二级，需要大中修里程为3.909公里，2022年建设路段为青堆。2023-2025期间需要大中修里程为26.02公里，本期建设路段为青堆、四家子。</w:t>
      </w:r>
    </w:p>
    <w:p w14:paraId="3C263B01">
      <w:pPr>
        <w:ind w:firstLine="480"/>
        <w:rPr>
          <w:rFonts w:ascii="仿宋" w:hAnsi="仿宋"/>
          <w:sz w:val="24"/>
        </w:rPr>
      </w:pPr>
      <w:r>
        <w:rPr>
          <w:rFonts w:ascii="仿宋" w:hAnsi="仿宋"/>
          <w:sz w:val="24"/>
        </w:rPr>
        <w:t>其余县级公路工程具体详见表8</w:t>
      </w:r>
      <w:r>
        <w:rPr>
          <w:rFonts w:hint="eastAsia" w:ascii="仿宋" w:hAnsi="仿宋"/>
          <w:sz w:val="24"/>
        </w:rPr>
        <w:t>。</w:t>
      </w:r>
    </w:p>
    <w:p w14:paraId="21B27965">
      <w:pPr>
        <w:spacing w:line="300" w:lineRule="auto"/>
        <w:ind w:firstLine="480"/>
        <w:rPr>
          <w:rFonts w:eastAsia="宋体"/>
          <w:sz w:val="24"/>
        </w:rPr>
      </w:pPr>
    </w:p>
    <w:p w14:paraId="56E7DDF9">
      <w:pPr>
        <w:spacing w:line="300" w:lineRule="auto"/>
        <w:ind w:firstLine="480"/>
        <w:rPr>
          <w:rFonts w:eastAsia="宋体"/>
          <w:sz w:val="24"/>
        </w:rPr>
      </w:pPr>
      <w:r>
        <w:rPr>
          <w:rFonts w:eastAsia="宋体"/>
          <w:sz w:val="24"/>
        </w:rPr>
        <w:br w:type="page"/>
      </w:r>
    </w:p>
    <w:p w14:paraId="433967E0">
      <w:pPr>
        <w:spacing w:line="300" w:lineRule="auto"/>
        <w:ind w:firstLine="480"/>
        <w:rPr>
          <w:rFonts w:eastAsia="宋体"/>
          <w:sz w:val="24"/>
        </w:rPr>
        <w:sectPr>
          <w:pgSz w:w="11906" w:h="16838"/>
          <w:pgMar w:top="1440" w:right="1797" w:bottom="1440" w:left="1797" w:header="851" w:footer="992" w:gutter="0"/>
          <w:cols w:space="425" w:num="1"/>
          <w:docGrid w:linePitch="312" w:charSpace="0"/>
        </w:sectPr>
      </w:pPr>
    </w:p>
    <w:p w14:paraId="71FD863E">
      <w:pPr>
        <w:ind w:firstLine="0" w:firstLineChars="0"/>
        <w:jc w:val="center"/>
        <w:rPr>
          <w:rFonts w:ascii="仿宋" w:hAnsi="仿宋"/>
          <w:bCs/>
          <w:sz w:val="21"/>
          <w:szCs w:val="22"/>
        </w:rPr>
      </w:pPr>
      <w:r>
        <w:rPr>
          <w:rFonts w:ascii="仿宋" w:hAnsi="仿宋"/>
          <w:bCs/>
          <w:sz w:val="21"/>
          <w:szCs w:val="21"/>
        </w:rPr>
        <w:t>表8 庄河市2021—2025年市域干线公路网建设方案</w:t>
      </w:r>
    </w:p>
    <w:tbl>
      <w:tblPr>
        <w:tblStyle w:val="12"/>
        <w:tblW w:w="49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171"/>
        <w:gridCol w:w="889"/>
        <w:gridCol w:w="827"/>
        <w:gridCol w:w="1476"/>
        <w:gridCol w:w="1476"/>
        <w:gridCol w:w="636"/>
        <w:gridCol w:w="636"/>
        <w:gridCol w:w="531"/>
        <w:gridCol w:w="531"/>
        <w:gridCol w:w="636"/>
        <w:gridCol w:w="636"/>
        <w:gridCol w:w="636"/>
        <w:gridCol w:w="531"/>
        <w:gridCol w:w="636"/>
        <w:gridCol w:w="636"/>
        <w:gridCol w:w="536"/>
        <w:gridCol w:w="1057"/>
      </w:tblGrid>
      <w:tr w14:paraId="39404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blHeader/>
        </w:trPr>
        <w:tc>
          <w:tcPr>
            <w:tcW w:w="169" w:type="pct"/>
            <w:vMerge w:val="restart"/>
            <w:shd w:val="clear" w:color="auto" w:fill="auto"/>
            <w:vAlign w:val="center"/>
          </w:tcPr>
          <w:p w14:paraId="2613F5BB">
            <w:pPr>
              <w:spacing w:line="240" w:lineRule="auto"/>
              <w:ind w:firstLine="0" w:firstLineChars="0"/>
              <w:jc w:val="center"/>
              <w:rPr>
                <w:rFonts w:ascii="仿宋" w:hAnsi="仿宋"/>
                <w:color w:val="000000"/>
                <w:kern w:val="0"/>
                <w:sz w:val="21"/>
                <w:szCs w:val="21"/>
              </w:rPr>
            </w:pPr>
            <w:bookmarkStart w:id="39" w:name="_Hlk44228862"/>
            <w:r>
              <w:rPr>
                <w:rFonts w:ascii="仿宋" w:hAnsi="仿宋"/>
                <w:color w:val="000000"/>
                <w:kern w:val="0"/>
                <w:sz w:val="21"/>
                <w:szCs w:val="21"/>
              </w:rPr>
              <w:t>序号</w:t>
            </w:r>
          </w:p>
        </w:tc>
        <w:tc>
          <w:tcPr>
            <w:tcW w:w="420" w:type="pct"/>
            <w:vMerge w:val="restart"/>
            <w:shd w:val="clear" w:color="auto" w:fill="auto"/>
            <w:vAlign w:val="center"/>
          </w:tcPr>
          <w:p w14:paraId="66C6CE7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项目名称</w:t>
            </w:r>
          </w:p>
        </w:tc>
        <w:tc>
          <w:tcPr>
            <w:tcW w:w="319" w:type="pct"/>
            <w:vMerge w:val="restart"/>
            <w:shd w:val="clear" w:color="auto" w:fill="auto"/>
            <w:vAlign w:val="center"/>
          </w:tcPr>
          <w:p w14:paraId="73EC7D2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路线编号</w:t>
            </w:r>
          </w:p>
        </w:tc>
        <w:tc>
          <w:tcPr>
            <w:tcW w:w="297" w:type="pct"/>
            <w:vMerge w:val="restart"/>
            <w:shd w:val="clear" w:color="auto" w:fill="auto"/>
            <w:vAlign w:val="center"/>
          </w:tcPr>
          <w:p w14:paraId="528A490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建设性质</w:t>
            </w:r>
          </w:p>
        </w:tc>
        <w:tc>
          <w:tcPr>
            <w:tcW w:w="529" w:type="pct"/>
            <w:vMerge w:val="restart"/>
            <w:shd w:val="clear" w:color="auto" w:fill="auto"/>
            <w:vAlign w:val="center"/>
          </w:tcPr>
          <w:p w14:paraId="1E1FDE1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起点</w:t>
            </w:r>
          </w:p>
        </w:tc>
        <w:tc>
          <w:tcPr>
            <w:tcW w:w="529" w:type="pct"/>
            <w:vMerge w:val="restart"/>
            <w:shd w:val="clear" w:color="auto" w:fill="auto"/>
            <w:vAlign w:val="center"/>
          </w:tcPr>
          <w:p w14:paraId="4797142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终点</w:t>
            </w:r>
          </w:p>
        </w:tc>
        <w:tc>
          <w:tcPr>
            <w:tcW w:w="227" w:type="pct"/>
            <w:vMerge w:val="restart"/>
            <w:shd w:val="clear" w:color="auto" w:fill="auto"/>
            <w:vAlign w:val="center"/>
          </w:tcPr>
          <w:p w14:paraId="09EE190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开工年</w:t>
            </w:r>
          </w:p>
        </w:tc>
        <w:tc>
          <w:tcPr>
            <w:tcW w:w="227" w:type="pct"/>
            <w:vMerge w:val="restart"/>
            <w:shd w:val="clear" w:color="auto" w:fill="auto"/>
            <w:vAlign w:val="center"/>
          </w:tcPr>
          <w:p w14:paraId="0E43061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完工年</w:t>
            </w:r>
          </w:p>
        </w:tc>
        <w:tc>
          <w:tcPr>
            <w:tcW w:w="836" w:type="pct"/>
            <w:gridSpan w:val="4"/>
            <w:shd w:val="clear" w:color="auto" w:fill="auto"/>
            <w:vAlign w:val="center"/>
          </w:tcPr>
          <w:p w14:paraId="3C4DBDC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现状等级（公里）</w:t>
            </w:r>
          </w:p>
        </w:tc>
        <w:tc>
          <w:tcPr>
            <w:tcW w:w="1064" w:type="pct"/>
            <w:gridSpan w:val="5"/>
            <w:shd w:val="clear" w:color="auto" w:fill="auto"/>
            <w:vAlign w:val="center"/>
          </w:tcPr>
          <w:p w14:paraId="0D766D3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建设规模（公里）</w:t>
            </w:r>
          </w:p>
        </w:tc>
        <w:tc>
          <w:tcPr>
            <w:tcW w:w="378" w:type="pct"/>
            <w:vMerge w:val="restart"/>
            <w:shd w:val="clear" w:color="auto" w:fill="auto"/>
            <w:vAlign w:val="center"/>
          </w:tcPr>
          <w:p w14:paraId="1347818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总投资</w:t>
            </w:r>
            <w:r>
              <w:rPr>
                <w:rFonts w:ascii="仿宋" w:hAnsi="仿宋"/>
                <w:color w:val="000000"/>
                <w:kern w:val="0"/>
                <w:sz w:val="21"/>
                <w:szCs w:val="21"/>
              </w:rPr>
              <w:br w:type="textWrapping"/>
            </w:r>
            <w:r>
              <w:rPr>
                <w:rFonts w:ascii="仿宋" w:hAnsi="仿宋"/>
                <w:color w:val="000000"/>
                <w:kern w:val="0"/>
                <w:sz w:val="21"/>
                <w:szCs w:val="21"/>
              </w:rPr>
              <w:t>（万元）</w:t>
            </w:r>
          </w:p>
        </w:tc>
      </w:tr>
      <w:tr w14:paraId="75D73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169" w:type="pct"/>
            <w:vMerge w:val="continue"/>
            <w:vAlign w:val="center"/>
          </w:tcPr>
          <w:p w14:paraId="71B60659">
            <w:pPr>
              <w:spacing w:line="240" w:lineRule="auto"/>
              <w:ind w:firstLine="0" w:firstLineChars="0"/>
              <w:jc w:val="center"/>
              <w:rPr>
                <w:rFonts w:ascii="仿宋" w:hAnsi="仿宋"/>
                <w:color w:val="000000"/>
                <w:kern w:val="0"/>
                <w:sz w:val="21"/>
                <w:szCs w:val="21"/>
              </w:rPr>
            </w:pPr>
          </w:p>
        </w:tc>
        <w:tc>
          <w:tcPr>
            <w:tcW w:w="420" w:type="pct"/>
            <w:vMerge w:val="continue"/>
            <w:vAlign w:val="center"/>
          </w:tcPr>
          <w:p w14:paraId="6F1E8AE7">
            <w:pPr>
              <w:spacing w:line="240" w:lineRule="auto"/>
              <w:ind w:firstLine="0" w:firstLineChars="0"/>
              <w:jc w:val="center"/>
              <w:rPr>
                <w:rFonts w:ascii="仿宋" w:hAnsi="仿宋"/>
                <w:color w:val="000000"/>
                <w:kern w:val="0"/>
                <w:sz w:val="21"/>
                <w:szCs w:val="21"/>
              </w:rPr>
            </w:pPr>
          </w:p>
        </w:tc>
        <w:tc>
          <w:tcPr>
            <w:tcW w:w="319" w:type="pct"/>
            <w:vMerge w:val="continue"/>
            <w:vAlign w:val="center"/>
          </w:tcPr>
          <w:p w14:paraId="01C3A274">
            <w:pPr>
              <w:spacing w:line="240" w:lineRule="auto"/>
              <w:ind w:firstLine="0" w:firstLineChars="0"/>
              <w:jc w:val="center"/>
              <w:rPr>
                <w:rFonts w:ascii="仿宋" w:hAnsi="仿宋"/>
                <w:color w:val="000000"/>
                <w:kern w:val="0"/>
                <w:sz w:val="21"/>
                <w:szCs w:val="21"/>
              </w:rPr>
            </w:pPr>
          </w:p>
        </w:tc>
        <w:tc>
          <w:tcPr>
            <w:tcW w:w="297" w:type="pct"/>
            <w:vMerge w:val="continue"/>
            <w:vAlign w:val="center"/>
          </w:tcPr>
          <w:p w14:paraId="493BEA39">
            <w:pPr>
              <w:spacing w:line="240" w:lineRule="auto"/>
              <w:ind w:firstLine="0" w:firstLineChars="0"/>
              <w:jc w:val="center"/>
              <w:rPr>
                <w:rFonts w:ascii="仿宋" w:hAnsi="仿宋"/>
                <w:color w:val="000000"/>
                <w:kern w:val="0"/>
                <w:sz w:val="21"/>
                <w:szCs w:val="21"/>
              </w:rPr>
            </w:pPr>
          </w:p>
        </w:tc>
        <w:tc>
          <w:tcPr>
            <w:tcW w:w="529" w:type="pct"/>
            <w:vMerge w:val="continue"/>
            <w:vAlign w:val="center"/>
          </w:tcPr>
          <w:p w14:paraId="1A955B63">
            <w:pPr>
              <w:spacing w:line="240" w:lineRule="auto"/>
              <w:ind w:firstLine="0" w:firstLineChars="0"/>
              <w:jc w:val="center"/>
              <w:rPr>
                <w:rFonts w:ascii="仿宋" w:hAnsi="仿宋"/>
                <w:color w:val="000000"/>
                <w:kern w:val="0"/>
                <w:sz w:val="21"/>
                <w:szCs w:val="21"/>
              </w:rPr>
            </w:pPr>
          </w:p>
        </w:tc>
        <w:tc>
          <w:tcPr>
            <w:tcW w:w="529" w:type="pct"/>
            <w:vMerge w:val="continue"/>
            <w:vAlign w:val="center"/>
          </w:tcPr>
          <w:p w14:paraId="6EDFA4CD">
            <w:pPr>
              <w:spacing w:line="240" w:lineRule="auto"/>
              <w:ind w:firstLine="0" w:firstLineChars="0"/>
              <w:jc w:val="center"/>
              <w:rPr>
                <w:rFonts w:ascii="仿宋" w:hAnsi="仿宋"/>
                <w:color w:val="000000"/>
                <w:kern w:val="0"/>
                <w:sz w:val="21"/>
                <w:szCs w:val="21"/>
              </w:rPr>
            </w:pPr>
          </w:p>
        </w:tc>
        <w:tc>
          <w:tcPr>
            <w:tcW w:w="227" w:type="pct"/>
            <w:vMerge w:val="continue"/>
            <w:vAlign w:val="center"/>
          </w:tcPr>
          <w:p w14:paraId="14C24363">
            <w:pPr>
              <w:spacing w:line="240" w:lineRule="auto"/>
              <w:ind w:firstLine="0" w:firstLineChars="0"/>
              <w:jc w:val="center"/>
              <w:rPr>
                <w:rFonts w:ascii="仿宋" w:hAnsi="仿宋"/>
                <w:color w:val="000000"/>
                <w:kern w:val="0"/>
                <w:sz w:val="21"/>
                <w:szCs w:val="21"/>
              </w:rPr>
            </w:pPr>
          </w:p>
        </w:tc>
        <w:tc>
          <w:tcPr>
            <w:tcW w:w="227" w:type="pct"/>
            <w:vMerge w:val="continue"/>
            <w:vAlign w:val="center"/>
          </w:tcPr>
          <w:p w14:paraId="7B9FEAA1">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0F90F2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一级</w:t>
            </w:r>
          </w:p>
        </w:tc>
        <w:tc>
          <w:tcPr>
            <w:tcW w:w="190" w:type="pct"/>
            <w:shd w:val="clear" w:color="auto" w:fill="auto"/>
            <w:vAlign w:val="center"/>
          </w:tcPr>
          <w:p w14:paraId="2DC673E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二级</w:t>
            </w:r>
          </w:p>
        </w:tc>
        <w:tc>
          <w:tcPr>
            <w:tcW w:w="227" w:type="pct"/>
            <w:shd w:val="clear" w:color="auto" w:fill="auto"/>
            <w:vAlign w:val="center"/>
          </w:tcPr>
          <w:p w14:paraId="3158412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三级</w:t>
            </w:r>
          </w:p>
        </w:tc>
        <w:tc>
          <w:tcPr>
            <w:tcW w:w="227" w:type="pct"/>
            <w:shd w:val="clear" w:color="auto" w:fill="auto"/>
            <w:vAlign w:val="center"/>
          </w:tcPr>
          <w:p w14:paraId="21C73FE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四级</w:t>
            </w:r>
          </w:p>
        </w:tc>
        <w:tc>
          <w:tcPr>
            <w:tcW w:w="227" w:type="pct"/>
            <w:shd w:val="clear" w:color="auto" w:fill="auto"/>
            <w:vAlign w:val="center"/>
          </w:tcPr>
          <w:p w14:paraId="73EBE54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合计</w:t>
            </w:r>
          </w:p>
        </w:tc>
        <w:tc>
          <w:tcPr>
            <w:tcW w:w="190" w:type="pct"/>
            <w:shd w:val="clear" w:color="auto" w:fill="auto"/>
            <w:vAlign w:val="center"/>
          </w:tcPr>
          <w:p w14:paraId="3BC8870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一级</w:t>
            </w:r>
          </w:p>
        </w:tc>
        <w:tc>
          <w:tcPr>
            <w:tcW w:w="227" w:type="pct"/>
            <w:shd w:val="clear" w:color="auto" w:fill="auto"/>
            <w:vAlign w:val="center"/>
          </w:tcPr>
          <w:p w14:paraId="16F0D91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二级</w:t>
            </w:r>
          </w:p>
        </w:tc>
        <w:tc>
          <w:tcPr>
            <w:tcW w:w="227" w:type="pct"/>
            <w:shd w:val="clear" w:color="auto" w:fill="auto"/>
            <w:vAlign w:val="center"/>
          </w:tcPr>
          <w:p w14:paraId="30C5B82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三级</w:t>
            </w:r>
          </w:p>
        </w:tc>
        <w:tc>
          <w:tcPr>
            <w:tcW w:w="190" w:type="pct"/>
            <w:shd w:val="clear" w:color="auto" w:fill="auto"/>
            <w:vAlign w:val="center"/>
          </w:tcPr>
          <w:p w14:paraId="2C37683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四级</w:t>
            </w:r>
          </w:p>
        </w:tc>
        <w:tc>
          <w:tcPr>
            <w:tcW w:w="378" w:type="pct"/>
            <w:vMerge w:val="continue"/>
            <w:vAlign w:val="center"/>
          </w:tcPr>
          <w:p w14:paraId="64A700D1">
            <w:pPr>
              <w:spacing w:line="240" w:lineRule="auto"/>
              <w:ind w:firstLine="0" w:firstLineChars="0"/>
              <w:jc w:val="center"/>
              <w:rPr>
                <w:rFonts w:ascii="仿宋" w:hAnsi="仿宋"/>
                <w:color w:val="000000"/>
                <w:kern w:val="0"/>
                <w:sz w:val="21"/>
                <w:szCs w:val="21"/>
              </w:rPr>
            </w:pPr>
          </w:p>
        </w:tc>
      </w:tr>
      <w:tr w14:paraId="23A05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89" w:type="pct"/>
            <w:gridSpan w:val="2"/>
            <w:shd w:val="clear" w:color="auto" w:fill="auto"/>
            <w:vAlign w:val="center"/>
          </w:tcPr>
          <w:p w14:paraId="5CDEB70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高速公路</w:t>
            </w:r>
          </w:p>
        </w:tc>
        <w:tc>
          <w:tcPr>
            <w:tcW w:w="319" w:type="pct"/>
            <w:shd w:val="clear" w:color="auto" w:fill="auto"/>
            <w:vAlign w:val="center"/>
          </w:tcPr>
          <w:p w14:paraId="672108EB">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79601D19">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77494057">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503637F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B0E3ABA">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BEFC14A">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7D73E47">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77CF02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F15D12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305757F">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379691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142</w:t>
            </w:r>
          </w:p>
        </w:tc>
        <w:tc>
          <w:tcPr>
            <w:tcW w:w="190" w:type="pct"/>
            <w:shd w:val="clear" w:color="auto" w:fill="auto"/>
            <w:vAlign w:val="center"/>
          </w:tcPr>
          <w:p w14:paraId="13C297E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142</w:t>
            </w:r>
          </w:p>
        </w:tc>
        <w:tc>
          <w:tcPr>
            <w:tcW w:w="227" w:type="pct"/>
            <w:shd w:val="clear" w:color="auto" w:fill="auto"/>
            <w:vAlign w:val="center"/>
          </w:tcPr>
          <w:p w14:paraId="2B49C033">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75F2B1C">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2905AF0F">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5A199CC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299000</w:t>
            </w:r>
          </w:p>
        </w:tc>
      </w:tr>
      <w:tr w14:paraId="354E5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5A75D59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420" w:type="pct"/>
            <w:shd w:val="clear" w:color="auto" w:fill="auto"/>
            <w:vAlign w:val="center"/>
          </w:tcPr>
          <w:p w14:paraId="75908F1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庄岫辽高速公路</w:t>
            </w:r>
          </w:p>
        </w:tc>
        <w:tc>
          <w:tcPr>
            <w:tcW w:w="319" w:type="pct"/>
            <w:shd w:val="clear" w:color="auto" w:fill="auto"/>
            <w:vAlign w:val="center"/>
          </w:tcPr>
          <w:p w14:paraId="45CD97BB">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7B42B3E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新建</w:t>
            </w:r>
          </w:p>
        </w:tc>
        <w:tc>
          <w:tcPr>
            <w:tcW w:w="529" w:type="pct"/>
            <w:shd w:val="clear" w:color="auto" w:fill="auto"/>
            <w:vAlign w:val="center"/>
          </w:tcPr>
          <w:p w14:paraId="48FB9B8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p>
        </w:tc>
        <w:tc>
          <w:tcPr>
            <w:tcW w:w="529" w:type="pct"/>
            <w:shd w:val="clear" w:color="auto" w:fill="auto"/>
            <w:vAlign w:val="center"/>
          </w:tcPr>
          <w:p w14:paraId="7789528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岫岩</w:t>
            </w:r>
          </w:p>
        </w:tc>
        <w:tc>
          <w:tcPr>
            <w:tcW w:w="227" w:type="pct"/>
            <w:shd w:val="clear" w:color="auto" w:fill="auto"/>
            <w:vAlign w:val="center"/>
          </w:tcPr>
          <w:p w14:paraId="6A307E8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6173E25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35BE9B11">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C4F99E3">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4CF9AF1">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B77E498">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71897B4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46</w:t>
            </w:r>
          </w:p>
        </w:tc>
        <w:tc>
          <w:tcPr>
            <w:tcW w:w="190" w:type="pct"/>
            <w:shd w:val="clear" w:color="auto" w:fill="auto"/>
            <w:noWrap/>
            <w:vAlign w:val="center"/>
          </w:tcPr>
          <w:p w14:paraId="424B278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46</w:t>
            </w:r>
          </w:p>
        </w:tc>
        <w:tc>
          <w:tcPr>
            <w:tcW w:w="227" w:type="pct"/>
            <w:shd w:val="clear" w:color="auto" w:fill="auto"/>
            <w:noWrap/>
            <w:vAlign w:val="center"/>
          </w:tcPr>
          <w:p w14:paraId="58389D64">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0EFAF161">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4C0AC6DE">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547C081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184000</w:t>
            </w:r>
          </w:p>
        </w:tc>
      </w:tr>
      <w:tr w14:paraId="693F4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87B3C7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420" w:type="pct"/>
            <w:shd w:val="clear" w:color="auto" w:fill="auto"/>
            <w:vAlign w:val="center"/>
          </w:tcPr>
          <w:p w14:paraId="4ACBA61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永青高速公路</w:t>
            </w:r>
          </w:p>
        </w:tc>
        <w:tc>
          <w:tcPr>
            <w:tcW w:w="319" w:type="pct"/>
            <w:shd w:val="clear" w:color="auto" w:fill="auto"/>
            <w:vAlign w:val="center"/>
          </w:tcPr>
          <w:p w14:paraId="01AF28FB">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37C3E54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新建</w:t>
            </w:r>
          </w:p>
        </w:tc>
        <w:tc>
          <w:tcPr>
            <w:tcW w:w="529" w:type="pct"/>
            <w:shd w:val="clear" w:color="auto" w:fill="auto"/>
            <w:vAlign w:val="center"/>
          </w:tcPr>
          <w:p w14:paraId="713E875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庄河</w:t>
            </w:r>
          </w:p>
        </w:tc>
        <w:tc>
          <w:tcPr>
            <w:tcW w:w="529" w:type="pct"/>
            <w:shd w:val="clear" w:color="auto" w:fill="auto"/>
            <w:vAlign w:val="center"/>
          </w:tcPr>
          <w:p w14:paraId="06DB033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瓦房店</w:t>
            </w:r>
          </w:p>
        </w:tc>
        <w:tc>
          <w:tcPr>
            <w:tcW w:w="227" w:type="pct"/>
            <w:shd w:val="clear" w:color="auto" w:fill="auto"/>
            <w:vAlign w:val="center"/>
          </w:tcPr>
          <w:p w14:paraId="1B16994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4D02821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7445BBFD">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249E0FB">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748D1A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F9EDC2A">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2C71067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96</w:t>
            </w:r>
          </w:p>
        </w:tc>
        <w:tc>
          <w:tcPr>
            <w:tcW w:w="190" w:type="pct"/>
            <w:shd w:val="clear" w:color="auto" w:fill="auto"/>
            <w:noWrap/>
            <w:vAlign w:val="center"/>
          </w:tcPr>
          <w:p w14:paraId="0711901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96</w:t>
            </w:r>
          </w:p>
        </w:tc>
        <w:tc>
          <w:tcPr>
            <w:tcW w:w="227" w:type="pct"/>
            <w:shd w:val="clear" w:color="auto" w:fill="auto"/>
            <w:noWrap/>
            <w:vAlign w:val="center"/>
          </w:tcPr>
          <w:p w14:paraId="47D2B207">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79049C4B">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40ECDCB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59DC088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115000</w:t>
            </w:r>
          </w:p>
        </w:tc>
      </w:tr>
      <w:tr w14:paraId="3265E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89" w:type="pct"/>
            <w:gridSpan w:val="2"/>
            <w:shd w:val="clear" w:color="auto" w:fill="auto"/>
            <w:vAlign w:val="center"/>
          </w:tcPr>
          <w:p w14:paraId="3C91CA4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普通国道</w:t>
            </w:r>
          </w:p>
        </w:tc>
        <w:tc>
          <w:tcPr>
            <w:tcW w:w="319" w:type="pct"/>
            <w:shd w:val="clear" w:color="auto" w:fill="auto"/>
            <w:vAlign w:val="center"/>
          </w:tcPr>
          <w:p w14:paraId="4009760F">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4602F1BE">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7A00ED1F">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1095BC12">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B5CB11D">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E0396AE">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AB84F5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8</w:t>
            </w:r>
          </w:p>
        </w:tc>
        <w:tc>
          <w:tcPr>
            <w:tcW w:w="190" w:type="pct"/>
            <w:shd w:val="clear" w:color="auto" w:fill="auto"/>
            <w:vAlign w:val="center"/>
          </w:tcPr>
          <w:p w14:paraId="4BC8133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95</w:t>
            </w:r>
          </w:p>
        </w:tc>
        <w:tc>
          <w:tcPr>
            <w:tcW w:w="227" w:type="pct"/>
            <w:shd w:val="clear" w:color="auto" w:fill="auto"/>
            <w:vAlign w:val="center"/>
          </w:tcPr>
          <w:p w14:paraId="5597278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2D48FD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F9EA8C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93.4</w:t>
            </w:r>
          </w:p>
        </w:tc>
        <w:tc>
          <w:tcPr>
            <w:tcW w:w="190" w:type="pct"/>
            <w:shd w:val="clear" w:color="auto" w:fill="auto"/>
            <w:vAlign w:val="center"/>
          </w:tcPr>
          <w:p w14:paraId="14BDE8A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8</w:t>
            </w:r>
          </w:p>
        </w:tc>
        <w:tc>
          <w:tcPr>
            <w:tcW w:w="227" w:type="pct"/>
            <w:shd w:val="clear" w:color="auto" w:fill="auto"/>
            <w:vAlign w:val="center"/>
          </w:tcPr>
          <w:p w14:paraId="5493535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95</w:t>
            </w:r>
          </w:p>
        </w:tc>
        <w:tc>
          <w:tcPr>
            <w:tcW w:w="227" w:type="pct"/>
            <w:shd w:val="clear" w:color="auto" w:fill="auto"/>
            <w:vAlign w:val="center"/>
          </w:tcPr>
          <w:p w14:paraId="32F20AED">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0A99EE68">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4E5BCA1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23107.7</w:t>
            </w:r>
          </w:p>
        </w:tc>
      </w:tr>
      <w:tr w14:paraId="054F4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0A316B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420" w:type="pct"/>
            <w:shd w:val="clear" w:color="auto" w:fill="auto"/>
            <w:vAlign w:val="center"/>
          </w:tcPr>
          <w:p w14:paraId="2502F54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鹤大线</w:t>
            </w:r>
          </w:p>
        </w:tc>
        <w:tc>
          <w:tcPr>
            <w:tcW w:w="319" w:type="pct"/>
            <w:shd w:val="clear" w:color="auto" w:fill="auto"/>
            <w:vAlign w:val="center"/>
          </w:tcPr>
          <w:p w14:paraId="7D88FE1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G201</w:t>
            </w:r>
          </w:p>
        </w:tc>
        <w:tc>
          <w:tcPr>
            <w:tcW w:w="297" w:type="pct"/>
            <w:shd w:val="clear" w:color="auto" w:fill="auto"/>
            <w:vAlign w:val="center"/>
          </w:tcPr>
          <w:p w14:paraId="0B88628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0A392C2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栗子房（1483.926）</w:t>
            </w:r>
          </w:p>
        </w:tc>
        <w:tc>
          <w:tcPr>
            <w:tcW w:w="529" w:type="pct"/>
            <w:shd w:val="clear" w:color="auto" w:fill="auto"/>
            <w:vAlign w:val="center"/>
          </w:tcPr>
          <w:p w14:paraId="4E600D8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湖里河（1497.93）</w:t>
            </w:r>
          </w:p>
        </w:tc>
        <w:tc>
          <w:tcPr>
            <w:tcW w:w="227" w:type="pct"/>
            <w:shd w:val="clear" w:color="auto" w:fill="auto"/>
            <w:vAlign w:val="center"/>
          </w:tcPr>
          <w:p w14:paraId="55F44F8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227" w:type="pct"/>
            <w:shd w:val="clear" w:color="auto" w:fill="auto"/>
            <w:vAlign w:val="center"/>
          </w:tcPr>
          <w:p w14:paraId="189B090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190" w:type="pct"/>
            <w:shd w:val="clear" w:color="auto" w:fill="auto"/>
            <w:vAlign w:val="center"/>
          </w:tcPr>
          <w:p w14:paraId="0EB6A42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4.2</w:t>
            </w:r>
          </w:p>
        </w:tc>
        <w:tc>
          <w:tcPr>
            <w:tcW w:w="190" w:type="pct"/>
            <w:shd w:val="clear" w:color="auto" w:fill="auto"/>
            <w:vAlign w:val="center"/>
          </w:tcPr>
          <w:p w14:paraId="0FC4CFC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9.8</w:t>
            </w:r>
          </w:p>
        </w:tc>
        <w:tc>
          <w:tcPr>
            <w:tcW w:w="227" w:type="pct"/>
            <w:shd w:val="clear" w:color="auto" w:fill="auto"/>
            <w:vAlign w:val="center"/>
          </w:tcPr>
          <w:p w14:paraId="0C64BE92">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FEFAB6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88E4E8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w:t>
            </w:r>
          </w:p>
        </w:tc>
        <w:tc>
          <w:tcPr>
            <w:tcW w:w="190" w:type="pct"/>
            <w:shd w:val="clear" w:color="auto" w:fill="auto"/>
            <w:vAlign w:val="center"/>
          </w:tcPr>
          <w:p w14:paraId="066763E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4.2</w:t>
            </w:r>
          </w:p>
        </w:tc>
        <w:tc>
          <w:tcPr>
            <w:tcW w:w="227" w:type="pct"/>
            <w:shd w:val="clear" w:color="auto" w:fill="auto"/>
            <w:vAlign w:val="center"/>
          </w:tcPr>
          <w:p w14:paraId="4770DDF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9.79</w:t>
            </w:r>
          </w:p>
        </w:tc>
        <w:tc>
          <w:tcPr>
            <w:tcW w:w="227" w:type="pct"/>
            <w:shd w:val="clear" w:color="auto" w:fill="auto"/>
            <w:vAlign w:val="center"/>
          </w:tcPr>
          <w:p w14:paraId="4FFF9A3A">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BCC92F1">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122DE24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4064.4</w:t>
            </w:r>
          </w:p>
        </w:tc>
      </w:tr>
      <w:tr w14:paraId="03A95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4C70CFC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420" w:type="pct"/>
            <w:shd w:val="clear" w:color="auto" w:fill="auto"/>
            <w:vAlign w:val="center"/>
          </w:tcPr>
          <w:p w14:paraId="1EDF5E6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鹤大线</w:t>
            </w:r>
          </w:p>
        </w:tc>
        <w:tc>
          <w:tcPr>
            <w:tcW w:w="319" w:type="pct"/>
            <w:shd w:val="clear" w:color="auto" w:fill="auto"/>
            <w:vAlign w:val="center"/>
          </w:tcPr>
          <w:p w14:paraId="7A358B3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G201</w:t>
            </w:r>
          </w:p>
        </w:tc>
        <w:tc>
          <w:tcPr>
            <w:tcW w:w="297" w:type="pct"/>
            <w:shd w:val="clear" w:color="auto" w:fill="auto"/>
            <w:vAlign w:val="center"/>
          </w:tcPr>
          <w:p w14:paraId="732A386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35C2EAF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湖里河（1497.93）</w:t>
            </w:r>
          </w:p>
        </w:tc>
        <w:tc>
          <w:tcPr>
            <w:tcW w:w="529" w:type="pct"/>
            <w:shd w:val="clear" w:color="auto" w:fill="auto"/>
            <w:vAlign w:val="center"/>
          </w:tcPr>
          <w:p w14:paraId="11BDB37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小沟（1516.931）</w:t>
            </w:r>
          </w:p>
        </w:tc>
        <w:tc>
          <w:tcPr>
            <w:tcW w:w="227" w:type="pct"/>
            <w:shd w:val="clear" w:color="auto" w:fill="auto"/>
            <w:vAlign w:val="center"/>
          </w:tcPr>
          <w:p w14:paraId="359AC7F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227" w:type="pct"/>
            <w:shd w:val="clear" w:color="auto" w:fill="auto"/>
            <w:vAlign w:val="center"/>
          </w:tcPr>
          <w:p w14:paraId="0DF6A34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49E3A6E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w:t>
            </w:r>
          </w:p>
        </w:tc>
        <w:tc>
          <w:tcPr>
            <w:tcW w:w="190" w:type="pct"/>
            <w:shd w:val="clear" w:color="auto" w:fill="auto"/>
            <w:vAlign w:val="center"/>
          </w:tcPr>
          <w:p w14:paraId="3D85BA6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18</w:t>
            </w:r>
          </w:p>
        </w:tc>
        <w:tc>
          <w:tcPr>
            <w:tcW w:w="227" w:type="pct"/>
            <w:shd w:val="clear" w:color="auto" w:fill="auto"/>
            <w:vAlign w:val="center"/>
          </w:tcPr>
          <w:p w14:paraId="4E4D429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500325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396D4E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19</w:t>
            </w:r>
          </w:p>
        </w:tc>
        <w:tc>
          <w:tcPr>
            <w:tcW w:w="190" w:type="pct"/>
            <w:shd w:val="clear" w:color="auto" w:fill="auto"/>
            <w:vAlign w:val="center"/>
          </w:tcPr>
          <w:p w14:paraId="7C731B8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w:t>
            </w:r>
          </w:p>
        </w:tc>
        <w:tc>
          <w:tcPr>
            <w:tcW w:w="227" w:type="pct"/>
            <w:shd w:val="clear" w:color="auto" w:fill="auto"/>
            <w:vAlign w:val="center"/>
          </w:tcPr>
          <w:p w14:paraId="66F2FF8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17.7</w:t>
            </w:r>
          </w:p>
        </w:tc>
        <w:tc>
          <w:tcPr>
            <w:tcW w:w="227" w:type="pct"/>
            <w:shd w:val="clear" w:color="auto" w:fill="auto"/>
            <w:vAlign w:val="center"/>
          </w:tcPr>
          <w:p w14:paraId="1340B109">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3D47073">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77EABED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4181.2</w:t>
            </w:r>
          </w:p>
        </w:tc>
      </w:tr>
      <w:tr w14:paraId="4900A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33021C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420" w:type="pct"/>
            <w:shd w:val="clear" w:color="auto" w:fill="auto"/>
            <w:vAlign w:val="center"/>
          </w:tcPr>
          <w:p w14:paraId="388C557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丹东线</w:t>
            </w:r>
          </w:p>
        </w:tc>
        <w:tc>
          <w:tcPr>
            <w:tcW w:w="319" w:type="pct"/>
            <w:shd w:val="clear" w:color="auto" w:fill="auto"/>
            <w:vAlign w:val="center"/>
          </w:tcPr>
          <w:p w14:paraId="7AB67F7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G228</w:t>
            </w:r>
          </w:p>
        </w:tc>
        <w:tc>
          <w:tcPr>
            <w:tcW w:w="297" w:type="pct"/>
            <w:shd w:val="clear" w:color="auto" w:fill="auto"/>
            <w:vAlign w:val="center"/>
          </w:tcPr>
          <w:p w14:paraId="46456AB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701B26C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黄姑咀</w:t>
            </w:r>
          </w:p>
        </w:tc>
        <w:tc>
          <w:tcPr>
            <w:tcW w:w="529" w:type="pct"/>
            <w:shd w:val="clear" w:color="auto" w:fill="auto"/>
            <w:vAlign w:val="center"/>
          </w:tcPr>
          <w:p w14:paraId="5CAB5A4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大郑</w:t>
            </w:r>
          </w:p>
        </w:tc>
        <w:tc>
          <w:tcPr>
            <w:tcW w:w="227" w:type="pct"/>
            <w:shd w:val="clear" w:color="auto" w:fill="auto"/>
            <w:vAlign w:val="center"/>
          </w:tcPr>
          <w:p w14:paraId="34B3932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68207FC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190" w:type="pct"/>
            <w:shd w:val="clear" w:color="auto" w:fill="auto"/>
            <w:vAlign w:val="center"/>
          </w:tcPr>
          <w:p w14:paraId="41D2DBD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149C70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w:t>
            </w:r>
          </w:p>
        </w:tc>
        <w:tc>
          <w:tcPr>
            <w:tcW w:w="227" w:type="pct"/>
            <w:shd w:val="clear" w:color="auto" w:fill="auto"/>
            <w:vAlign w:val="center"/>
          </w:tcPr>
          <w:p w14:paraId="166599F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2D119B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AD51C2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CA71D94">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2267CD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w:t>
            </w:r>
          </w:p>
        </w:tc>
        <w:tc>
          <w:tcPr>
            <w:tcW w:w="227" w:type="pct"/>
            <w:shd w:val="clear" w:color="auto" w:fill="auto"/>
            <w:vAlign w:val="center"/>
          </w:tcPr>
          <w:p w14:paraId="298F7E20">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00E65271">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1EF5711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2160</w:t>
            </w:r>
          </w:p>
        </w:tc>
      </w:tr>
      <w:tr w14:paraId="1C23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826B4B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420" w:type="pct"/>
            <w:shd w:val="clear" w:color="auto" w:fill="auto"/>
            <w:vAlign w:val="center"/>
          </w:tcPr>
          <w:p w14:paraId="3FEF2AB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庄林线</w:t>
            </w:r>
          </w:p>
        </w:tc>
        <w:tc>
          <w:tcPr>
            <w:tcW w:w="319" w:type="pct"/>
            <w:shd w:val="clear" w:color="auto" w:fill="auto"/>
            <w:vAlign w:val="center"/>
          </w:tcPr>
          <w:p w14:paraId="554699B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G305</w:t>
            </w:r>
          </w:p>
        </w:tc>
        <w:tc>
          <w:tcPr>
            <w:tcW w:w="297" w:type="pct"/>
            <w:shd w:val="clear" w:color="auto" w:fill="auto"/>
            <w:vAlign w:val="center"/>
          </w:tcPr>
          <w:p w14:paraId="1083657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1BD815E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冯屯（7.232）</w:t>
            </w:r>
          </w:p>
        </w:tc>
        <w:tc>
          <w:tcPr>
            <w:tcW w:w="529" w:type="pct"/>
            <w:shd w:val="clear" w:color="auto" w:fill="auto"/>
            <w:vAlign w:val="center"/>
          </w:tcPr>
          <w:p w14:paraId="4BCCA43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同巨（37.649）</w:t>
            </w:r>
          </w:p>
        </w:tc>
        <w:tc>
          <w:tcPr>
            <w:tcW w:w="227" w:type="pct"/>
            <w:shd w:val="clear" w:color="auto" w:fill="auto"/>
            <w:vAlign w:val="center"/>
          </w:tcPr>
          <w:p w14:paraId="04C5C54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227" w:type="pct"/>
            <w:shd w:val="clear" w:color="auto" w:fill="auto"/>
            <w:vAlign w:val="center"/>
          </w:tcPr>
          <w:p w14:paraId="322D033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190" w:type="pct"/>
            <w:shd w:val="clear" w:color="auto" w:fill="auto"/>
            <w:vAlign w:val="center"/>
          </w:tcPr>
          <w:p w14:paraId="03E11C1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2.1</w:t>
            </w:r>
          </w:p>
        </w:tc>
        <w:tc>
          <w:tcPr>
            <w:tcW w:w="190" w:type="pct"/>
            <w:shd w:val="clear" w:color="auto" w:fill="auto"/>
            <w:vAlign w:val="center"/>
          </w:tcPr>
          <w:p w14:paraId="6DFF604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28</w:t>
            </w:r>
          </w:p>
        </w:tc>
        <w:tc>
          <w:tcPr>
            <w:tcW w:w="227" w:type="pct"/>
            <w:shd w:val="clear" w:color="auto" w:fill="auto"/>
            <w:vAlign w:val="center"/>
          </w:tcPr>
          <w:p w14:paraId="791DF11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CB6E31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F3293D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30.4</w:t>
            </w:r>
          </w:p>
        </w:tc>
        <w:tc>
          <w:tcPr>
            <w:tcW w:w="190" w:type="pct"/>
            <w:shd w:val="clear" w:color="auto" w:fill="auto"/>
            <w:vAlign w:val="center"/>
          </w:tcPr>
          <w:p w14:paraId="325E789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2.1</w:t>
            </w:r>
          </w:p>
        </w:tc>
        <w:tc>
          <w:tcPr>
            <w:tcW w:w="227" w:type="pct"/>
            <w:shd w:val="clear" w:color="auto" w:fill="auto"/>
            <w:vAlign w:val="center"/>
          </w:tcPr>
          <w:p w14:paraId="6D444E3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28.3</w:t>
            </w:r>
          </w:p>
        </w:tc>
        <w:tc>
          <w:tcPr>
            <w:tcW w:w="227" w:type="pct"/>
            <w:shd w:val="clear" w:color="auto" w:fill="auto"/>
            <w:vAlign w:val="center"/>
          </w:tcPr>
          <w:p w14:paraId="707A1B6D">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77B1751">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83A357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6704.7</w:t>
            </w:r>
          </w:p>
        </w:tc>
      </w:tr>
      <w:tr w14:paraId="3D431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0DEA210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w:t>
            </w:r>
          </w:p>
        </w:tc>
        <w:tc>
          <w:tcPr>
            <w:tcW w:w="420" w:type="pct"/>
            <w:shd w:val="clear" w:color="auto" w:fill="auto"/>
            <w:vAlign w:val="center"/>
          </w:tcPr>
          <w:p w14:paraId="6A00B6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庄林线</w:t>
            </w:r>
          </w:p>
        </w:tc>
        <w:tc>
          <w:tcPr>
            <w:tcW w:w="319" w:type="pct"/>
            <w:shd w:val="clear" w:color="auto" w:fill="auto"/>
            <w:vAlign w:val="center"/>
          </w:tcPr>
          <w:p w14:paraId="38735F0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G305</w:t>
            </w:r>
          </w:p>
        </w:tc>
        <w:tc>
          <w:tcPr>
            <w:tcW w:w="297" w:type="pct"/>
            <w:shd w:val="clear" w:color="auto" w:fill="auto"/>
            <w:vAlign w:val="center"/>
          </w:tcPr>
          <w:p w14:paraId="3D10575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36F49F3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同巨（37.649）</w:t>
            </w:r>
          </w:p>
        </w:tc>
        <w:tc>
          <w:tcPr>
            <w:tcW w:w="529" w:type="pct"/>
            <w:shd w:val="clear" w:color="auto" w:fill="auto"/>
            <w:vAlign w:val="center"/>
          </w:tcPr>
          <w:p w14:paraId="618CFAA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小滴台（67.636）</w:t>
            </w:r>
          </w:p>
        </w:tc>
        <w:tc>
          <w:tcPr>
            <w:tcW w:w="227" w:type="pct"/>
            <w:shd w:val="clear" w:color="auto" w:fill="auto"/>
            <w:vAlign w:val="center"/>
          </w:tcPr>
          <w:p w14:paraId="787924F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5A8D314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190" w:type="pct"/>
            <w:shd w:val="clear" w:color="auto" w:fill="auto"/>
            <w:vAlign w:val="center"/>
          </w:tcPr>
          <w:p w14:paraId="75A8B806">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4A8BDB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227" w:type="pct"/>
            <w:shd w:val="clear" w:color="auto" w:fill="auto"/>
            <w:vAlign w:val="center"/>
          </w:tcPr>
          <w:p w14:paraId="3882A89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78A688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3D9857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190" w:type="pct"/>
            <w:shd w:val="clear" w:color="auto" w:fill="auto"/>
            <w:vAlign w:val="center"/>
          </w:tcPr>
          <w:p w14:paraId="2AE238CB">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3A9825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227" w:type="pct"/>
            <w:shd w:val="clear" w:color="auto" w:fill="auto"/>
            <w:noWrap/>
            <w:vAlign w:val="center"/>
          </w:tcPr>
          <w:p w14:paraId="58F9043D">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64247572">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5BA75B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5997.4</w:t>
            </w:r>
          </w:p>
        </w:tc>
      </w:tr>
      <w:tr w14:paraId="70B47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89" w:type="pct"/>
            <w:gridSpan w:val="2"/>
            <w:shd w:val="clear" w:color="auto" w:fill="auto"/>
            <w:vAlign w:val="center"/>
          </w:tcPr>
          <w:p w14:paraId="51A9DEE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普通省道</w:t>
            </w:r>
          </w:p>
        </w:tc>
        <w:tc>
          <w:tcPr>
            <w:tcW w:w="319" w:type="pct"/>
            <w:shd w:val="clear" w:color="auto" w:fill="auto"/>
            <w:vAlign w:val="center"/>
          </w:tcPr>
          <w:p w14:paraId="7CDA13AB">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553184B3">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67BCB159">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4CEC99DE">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BD7C12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F18BC8C">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3060B1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9E569F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227" w:type="pct"/>
            <w:shd w:val="clear" w:color="auto" w:fill="auto"/>
            <w:vAlign w:val="center"/>
          </w:tcPr>
          <w:p w14:paraId="511E3FE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36</w:t>
            </w:r>
          </w:p>
        </w:tc>
        <w:tc>
          <w:tcPr>
            <w:tcW w:w="227" w:type="pct"/>
            <w:shd w:val="clear" w:color="auto" w:fill="auto"/>
            <w:vAlign w:val="center"/>
          </w:tcPr>
          <w:p w14:paraId="10867CB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4.9</w:t>
            </w:r>
          </w:p>
        </w:tc>
        <w:tc>
          <w:tcPr>
            <w:tcW w:w="227" w:type="pct"/>
            <w:shd w:val="clear" w:color="auto" w:fill="auto"/>
            <w:vAlign w:val="center"/>
          </w:tcPr>
          <w:p w14:paraId="126ABB9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112</w:t>
            </w:r>
          </w:p>
        </w:tc>
        <w:tc>
          <w:tcPr>
            <w:tcW w:w="190" w:type="pct"/>
            <w:shd w:val="clear" w:color="auto" w:fill="auto"/>
            <w:vAlign w:val="center"/>
          </w:tcPr>
          <w:p w14:paraId="23AA69AB">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BA47D3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112</w:t>
            </w:r>
          </w:p>
        </w:tc>
        <w:tc>
          <w:tcPr>
            <w:tcW w:w="227" w:type="pct"/>
            <w:shd w:val="clear" w:color="auto" w:fill="auto"/>
            <w:vAlign w:val="center"/>
          </w:tcPr>
          <w:p w14:paraId="50658F3C">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334D739">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7D318B2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100093.8</w:t>
            </w:r>
          </w:p>
        </w:tc>
      </w:tr>
      <w:tr w14:paraId="6AC5A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56F22AE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420" w:type="pct"/>
            <w:shd w:val="clear" w:color="auto" w:fill="auto"/>
            <w:vAlign w:val="center"/>
          </w:tcPr>
          <w:p w14:paraId="236588B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093A73F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227F163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0083BC6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小皮铺（93.402）</w:t>
            </w:r>
          </w:p>
        </w:tc>
        <w:tc>
          <w:tcPr>
            <w:tcW w:w="529" w:type="pct"/>
            <w:shd w:val="clear" w:color="auto" w:fill="auto"/>
            <w:vAlign w:val="center"/>
          </w:tcPr>
          <w:p w14:paraId="58E0A53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秦家（95.703）</w:t>
            </w:r>
          </w:p>
        </w:tc>
        <w:tc>
          <w:tcPr>
            <w:tcW w:w="227" w:type="pct"/>
            <w:shd w:val="clear" w:color="auto" w:fill="auto"/>
            <w:vAlign w:val="center"/>
          </w:tcPr>
          <w:p w14:paraId="3D30413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227" w:type="pct"/>
            <w:shd w:val="clear" w:color="auto" w:fill="auto"/>
            <w:vAlign w:val="center"/>
          </w:tcPr>
          <w:p w14:paraId="7F42024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190" w:type="pct"/>
            <w:shd w:val="clear" w:color="auto" w:fill="auto"/>
            <w:vAlign w:val="center"/>
          </w:tcPr>
          <w:p w14:paraId="225DC226">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01EDDE63">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1D79206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2.3</w:t>
            </w:r>
          </w:p>
        </w:tc>
        <w:tc>
          <w:tcPr>
            <w:tcW w:w="227" w:type="pct"/>
            <w:shd w:val="clear" w:color="auto" w:fill="auto"/>
            <w:vAlign w:val="center"/>
          </w:tcPr>
          <w:p w14:paraId="4ADC0DB8">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7072C9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2.3</w:t>
            </w:r>
          </w:p>
        </w:tc>
        <w:tc>
          <w:tcPr>
            <w:tcW w:w="190" w:type="pct"/>
            <w:shd w:val="clear" w:color="auto" w:fill="auto"/>
            <w:noWrap/>
            <w:vAlign w:val="center"/>
          </w:tcPr>
          <w:p w14:paraId="6945F059">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3B22645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2.3</w:t>
            </w:r>
          </w:p>
        </w:tc>
        <w:tc>
          <w:tcPr>
            <w:tcW w:w="227" w:type="pct"/>
            <w:shd w:val="clear" w:color="auto" w:fill="auto"/>
            <w:noWrap/>
            <w:vAlign w:val="center"/>
          </w:tcPr>
          <w:p w14:paraId="3171426A">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610DB54C">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5F107D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1841</w:t>
            </w:r>
          </w:p>
        </w:tc>
      </w:tr>
      <w:tr w14:paraId="0515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B15F08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420" w:type="pct"/>
            <w:shd w:val="clear" w:color="auto" w:fill="auto"/>
            <w:vAlign w:val="center"/>
          </w:tcPr>
          <w:p w14:paraId="53B8355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5CE3387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13F9788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6492C53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金山村出口（97.295）</w:t>
            </w:r>
          </w:p>
        </w:tc>
        <w:tc>
          <w:tcPr>
            <w:tcW w:w="529" w:type="pct"/>
            <w:shd w:val="clear" w:color="auto" w:fill="auto"/>
            <w:vAlign w:val="center"/>
          </w:tcPr>
          <w:p w14:paraId="6DA3A7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栗石线（100.333）</w:t>
            </w:r>
          </w:p>
        </w:tc>
        <w:tc>
          <w:tcPr>
            <w:tcW w:w="227" w:type="pct"/>
            <w:shd w:val="clear" w:color="auto" w:fill="auto"/>
            <w:vAlign w:val="center"/>
          </w:tcPr>
          <w:p w14:paraId="3A6F8D4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227" w:type="pct"/>
            <w:shd w:val="clear" w:color="auto" w:fill="auto"/>
            <w:vAlign w:val="center"/>
          </w:tcPr>
          <w:p w14:paraId="648C32B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190" w:type="pct"/>
            <w:shd w:val="clear" w:color="auto" w:fill="auto"/>
            <w:vAlign w:val="center"/>
          </w:tcPr>
          <w:p w14:paraId="7182605B">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1B78702">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68C32C9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3.04</w:t>
            </w:r>
          </w:p>
        </w:tc>
        <w:tc>
          <w:tcPr>
            <w:tcW w:w="227" w:type="pct"/>
            <w:shd w:val="clear" w:color="auto" w:fill="auto"/>
            <w:vAlign w:val="center"/>
          </w:tcPr>
          <w:p w14:paraId="2293A1E3">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4B637F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3.04</w:t>
            </w:r>
          </w:p>
        </w:tc>
        <w:tc>
          <w:tcPr>
            <w:tcW w:w="190" w:type="pct"/>
            <w:shd w:val="clear" w:color="auto" w:fill="auto"/>
            <w:noWrap/>
            <w:vAlign w:val="center"/>
          </w:tcPr>
          <w:p w14:paraId="2D8CCE0D">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0DC996B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3.04</w:t>
            </w:r>
          </w:p>
        </w:tc>
        <w:tc>
          <w:tcPr>
            <w:tcW w:w="227" w:type="pct"/>
            <w:shd w:val="clear" w:color="auto" w:fill="auto"/>
            <w:noWrap/>
            <w:vAlign w:val="center"/>
          </w:tcPr>
          <w:p w14:paraId="09A8146C">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10242537">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55B4686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2430</w:t>
            </w:r>
          </w:p>
        </w:tc>
      </w:tr>
      <w:tr w14:paraId="1CC8E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32BE91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420" w:type="pct"/>
            <w:shd w:val="clear" w:color="auto" w:fill="auto"/>
            <w:vAlign w:val="center"/>
          </w:tcPr>
          <w:p w14:paraId="169A4FE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38F8395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25BDACE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78A001D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蒋岭（100.335）</w:t>
            </w:r>
          </w:p>
        </w:tc>
        <w:tc>
          <w:tcPr>
            <w:tcW w:w="529" w:type="pct"/>
            <w:shd w:val="clear" w:color="auto" w:fill="auto"/>
            <w:vAlign w:val="center"/>
          </w:tcPr>
          <w:p w14:paraId="2D74B8E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朱营（106.29）</w:t>
            </w:r>
          </w:p>
        </w:tc>
        <w:tc>
          <w:tcPr>
            <w:tcW w:w="227" w:type="pct"/>
            <w:shd w:val="clear" w:color="auto" w:fill="auto"/>
            <w:vAlign w:val="center"/>
          </w:tcPr>
          <w:p w14:paraId="71E7521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5245D93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190" w:type="pct"/>
            <w:shd w:val="clear" w:color="auto" w:fill="auto"/>
            <w:vAlign w:val="center"/>
          </w:tcPr>
          <w:p w14:paraId="5CAB9D59">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EC05545">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73940E2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5.96</w:t>
            </w:r>
          </w:p>
        </w:tc>
        <w:tc>
          <w:tcPr>
            <w:tcW w:w="227" w:type="pct"/>
            <w:shd w:val="clear" w:color="auto" w:fill="auto"/>
            <w:vAlign w:val="center"/>
          </w:tcPr>
          <w:p w14:paraId="11F0096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0A6357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5.96</w:t>
            </w:r>
          </w:p>
        </w:tc>
        <w:tc>
          <w:tcPr>
            <w:tcW w:w="190" w:type="pct"/>
            <w:shd w:val="clear" w:color="auto" w:fill="auto"/>
            <w:noWrap/>
            <w:vAlign w:val="center"/>
          </w:tcPr>
          <w:p w14:paraId="435F2AFE">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350134A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5.96</w:t>
            </w:r>
          </w:p>
        </w:tc>
        <w:tc>
          <w:tcPr>
            <w:tcW w:w="227" w:type="pct"/>
            <w:shd w:val="clear" w:color="auto" w:fill="auto"/>
            <w:noWrap/>
            <w:vAlign w:val="center"/>
          </w:tcPr>
          <w:p w14:paraId="0A4DD778">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674FC02D">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798C774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4764</w:t>
            </w:r>
          </w:p>
        </w:tc>
      </w:tr>
      <w:tr w14:paraId="22E50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6216E34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420" w:type="pct"/>
            <w:shd w:val="clear" w:color="auto" w:fill="auto"/>
            <w:vAlign w:val="center"/>
          </w:tcPr>
          <w:p w14:paraId="2319588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1E6729E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76BF9FD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3062FC6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朱营村入口（106.29）</w:t>
            </w:r>
          </w:p>
        </w:tc>
        <w:tc>
          <w:tcPr>
            <w:tcW w:w="529" w:type="pct"/>
            <w:shd w:val="clear" w:color="auto" w:fill="auto"/>
            <w:vAlign w:val="center"/>
          </w:tcPr>
          <w:p w14:paraId="6079CF6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孙屯（119.599）</w:t>
            </w:r>
          </w:p>
        </w:tc>
        <w:tc>
          <w:tcPr>
            <w:tcW w:w="227" w:type="pct"/>
            <w:shd w:val="clear" w:color="auto" w:fill="auto"/>
            <w:vAlign w:val="center"/>
          </w:tcPr>
          <w:p w14:paraId="3C16E0B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54B8743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190" w:type="pct"/>
            <w:shd w:val="clear" w:color="auto" w:fill="auto"/>
            <w:vAlign w:val="center"/>
          </w:tcPr>
          <w:p w14:paraId="434F8613">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CD758CC">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4C76786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13.3</w:t>
            </w:r>
          </w:p>
        </w:tc>
        <w:tc>
          <w:tcPr>
            <w:tcW w:w="227" w:type="pct"/>
            <w:shd w:val="clear" w:color="auto" w:fill="auto"/>
            <w:vAlign w:val="center"/>
          </w:tcPr>
          <w:p w14:paraId="77F5EFA4">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0F759D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13.3</w:t>
            </w:r>
          </w:p>
        </w:tc>
        <w:tc>
          <w:tcPr>
            <w:tcW w:w="190" w:type="pct"/>
            <w:shd w:val="clear" w:color="auto" w:fill="auto"/>
            <w:noWrap/>
            <w:vAlign w:val="center"/>
          </w:tcPr>
          <w:p w14:paraId="1C3D8EDB">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009E189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13.3</w:t>
            </w:r>
          </w:p>
        </w:tc>
        <w:tc>
          <w:tcPr>
            <w:tcW w:w="227" w:type="pct"/>
            <w:shd w:val="clear" w:color="auto" w:fill="auto"/>
            <w:noWrap/>
            <w:vAlign w:val="center"/>
          </w:tcPr>
          <w:p w14:paraId="4C211E35">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2D90C58D">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25F77F8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10647</w:t>
            </w:r>
          </w:p>
        </w:tc>
      </w:tr>
      <w:tr w14:paraId="512D6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479A41B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w:t>
            </w:r>
          </w:p>
        </w:tc>
        <w:tc>
          <w:tcPr>
            <w:tcW w:w="420" w:type="pct"/>
            <w:shd w:val="clear" w:color="auto" w:fill="auto"/>
            <w:vAlign w:val="center"/>
          </w:tcPr>
          <w:p w14:paraId="03D7260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6FDB992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568EBA7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3C935C1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孙屯（119.599）</w:t>
            </w:r>
          </w:p>
        </w:tc>
        <w:tc>
          <w:tcPr>
            <w:tcW w:w="529" w:type="pct"/>
            <w:shd w:val="clear" w:color="auto" w:fill="auto"/>
            <w:vAlign w:val="center"/>
          </w:tcPr>
          <w:p w14:paraId="7C40AC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大营（128.612）</w:t>
            </w:r>
          </w:p>
        </w:tc>
        <w:tc>
          <w:tcPr>
            <w:tcW w:w="227" w:type="pct"/>
            <w:shd w:val="clear" w:color="auto" w:fill="auto"/>
            <w:vAlign w:val="center"/>
          </w:tcPr>
          <w:p w14:paraId="5823DC2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227" w:type="pct"/>
            <w:shd w:val="clear" w:color="auto" w:fill="auto"/>
            <w:vAlign w:val="center"/>
          </w:tcPr>
          <w:p w14:paraId="72C1255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190" w:type="pct"/>
            <w:shd w:val="clear" w:color="auto" w:fill="auto"/>
            <w:vAlign w:val="center"/>
          </w:tcPr>
          <w:p w14:paraId="76C3949C">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829227A">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D1C7B4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9.01</w:t>
            </w:r>
          </w:p>
        </w:tc>
        <w:tc>
          <w:tcPr>
            <w:tcW w:w="227" w:type="pct"/>
            <w:shd w:val="clear" w:color="auto" w:fill="auto"/>
            <w:vAlign w:val="center"/>
          </w:tcPr>
          <w:p w14:paraId="78B1841D">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D26578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9.01</w:t>
            </w:r>
          </w:p>
        </w:tc>
        <w:tc>
          <w:tcPr>
            <w:tcW w:w="190" w:type="pct"/>
            <w:shd w:val="clear" w:color="auto" w:fill="auto"/>
            <w:noWrap/>
            <w:vAlign w:val="center"/>
          </w:tcPr>
          <w:p w14:paraId="52F8ADC8">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92FC66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9.01</w:t>
            </w:r>
          </w:p>
        </w:tc>
        <w:tc>
          <w:tcPr>
            <w:tcW w:w="227" w:type="pct"/>
            <w:shd w:val="clear" w:color="auto" w:fill="auto"/>
            <w:noWrap/>
            <w:vAlign w:val="center"/>
          </w:tcPr>
          <w:p w14:paraId="28DAEA62">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715E755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4FC845E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7210</w:t>
            </w:r>
          </w:p>
        </w:tc>
      </w:tr>
      <w:tr w14:paraId="04968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572BB0D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w:t>
            </w:r>
          </w:p>
        </w:tc>
        <w:tc>
          <w:tcPr>
            <w:tcW w:w="420" w:type="pct"/>
            <w:shd w:val="clear" w:color="auto" w:fill="auto"/>
            <w:vAlign w:val="center"/>
          </w:tcPr>
          <w:p w14:paraId="422CD8F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4D8D3F6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3EC6E01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新建</w:t>
            </w:r>
          </w:p>
        </w:tc>
        <w:tc>
          <w:tcPr>
            <w:tcW w:w="529" w:type="pct"/>
            <w:shd w:val="clear" w:color="auto" w:fill="auto"/>
            <w:vAlign w:val="center"/>
          </w:tcPr>
          <w:p w14:paraId="6E8F7B4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四家村</w:t>
            </w:r>
          </w:p>
        </w:tc>
        <w:tc>
          <w:tcPr>
            <w:tcW w:w="529" w:type="pct"/>
            <w:shd w:val="clear" w:color="auto" w:fill="auto"/>
            <w:vAlign w:val="center"/>
          </w:tcPr>
          <w:p w14:paraId="1178C04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福隆</w:t>
            </w:r>
          </w:p>
        </w:tc>
        <w:tc>
          <w:tcPr>
            <w:tcW w:w="227" w:type="pct"/>
            <w:shd w:val="clear" w:color="auto" w:fill="auto"/>
            <w:vAlign w:val="center"/>
          </w:tcPr>
          <w:p w14:paraId="60758F9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227" w:type="pct"/>
            <w:shd w:val="clear" w:color="auto" w:fill="auto"/>
            <w:vAlign w:val="center"/>
          </w:tcPr>
          <w:p w14:paraId="1912F40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07290F75">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D42BD9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4702BA4">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E46E7A1">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130D60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35</w:t>
            </w:r>
          </w:p>
        </w:tc>
        <w:tc>
          <w:tcPr>
            <w:tcW w:w="190" w:type="pct"/>
            <w:shd w:val="clear" w:color="auto" w:fill="auto"/>
            <w:noWrap/>
            <w:vAlign w:val="center"/>
          </w:tcPr>
          <w:p w14:paraId="79903391">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2C173E4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35</w:t>
            </w:r>
          </w:p>
        </w:tc>
        <w:tc>
          <w:tcPr>
            <w:tcW w:w="227" w:type="pct"/>
            <w:shd w:val="clear" w:color="auto" w:fill="auto"/>
            <w:noWrap/>
            <w:vAlign w:val="center"/>
          </w:tcPr>
          <w:p w14:paraId="12BD2CB2">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7E6868A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0683AD2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52500</w:t>
            </w:r>
          </w:p>
        </w:tc>
      </w:tr>
      <w:tr w14:paraId="1410F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EAA5A0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w:t>
            </w:r>
          </w:p>
        </w:tc>
        <w:tc>
          <w:tcPr>
            <w:tcW w:w="420" w:type="pct"/>
            <w:shd w:val="clear" w:color="auto" w:fill="auto"/>
            <w:vAlign w:val="center"/>
          </w:tcPr>
          <w:p w14:paraId="084CEC9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0A1DA7E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2EBF78E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028EE9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城山镇</w:t>
            </w:r>
          </w:p>
        </w:tc>
        <w:tc>
          <w:tcPr>
            <w:tcW w:w="529" w:type="pct"/>
            <w:shd w:val="clear" w:color="auto" w:fill="auto"/>
            <w:vAlign w:val="center"/>
          </w:tcPr>
          <w:p w14:paraId="3F9DBF7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城山镇</w:t>
            </w:r>
          </w:p>
        </w:tc>
        <w:tc>
          <w:tcPr>
            <w:tcW w:w="227" w:type="pct"/>
            <w:shd w:val="clear" w:color="auto" w:fill="auto"/>
            <w:vAlign w:val="center"/>
          </w:tcPr>
          <w:p w14:paraId="21C6C29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227" w:type="pct"/>
            <w:shd w:val="clear" w:color="auto" w:fill="auto"/>
            <w:vAlign w:val="center"/>
          </w:tcPr>
          <w:p w14:paraId="61234E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190" w:type="pct"/>
            <w:shd w:val="clear" w:color="auto" w:fill="auto"/>
            <w:vAlign w:val="center"/>
          </w:tcPr>
          <w:p w14:paraId="2284A150">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52D3B4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346E12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w:t>
            </w:r>
          </w:p>
        </w:tc>
        <w:tc>
          <w:tcPr>
            <w:tcW w:w="227" w:type="pct"/>
            <w:shd w:val="clear" w:color="auto" w:fill="auto"/>
            <w:vAlign w:val="center"/>
          </w:tcPr>
          <w:p w14:paraId="1137E238">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7EE446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w:t>
            </w:r>
          </w:p>
        </w:tc>
        <w:tc>
          <w:tcPr>
            <w:tcW w:w="190" w:type="pct"/>
            <w:shd w:val="clear" w:color="auto" w:fill="auto"/>
            <w:noWrap/>
            <w:vAlign w:val="center"/>
          </w:tcPr>
          <w:p w14:paraId="7AC2F6E3">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248649A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w:t>
            </w:r>
          </w:p>
        </w:tc>
        <w:tc>
          <w:tcPr>
            <w:tcW w:w="227" w:type="pct"/>
            <w:shd w:val="clear" w:color="auto" w:fill="auto"/>
            <w:noWrap/>
            <w:vAlign w:val="center"/>
          </w:tcPr>
          <w:p w14:paraId="4EC3F710">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4EE9FC8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0189871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1760</w:t>
            </w:r>
          </w:p>
        </w:tc>
      </w:tr>
      <w:tr w14:paraId="36D7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6AAA6DE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8</w:t>
            </w:r>
          </w:p>
        </w:tc>
        <w:tc>
          <w:tcPr>
            <w:tcW w:w="420" w:type="pct"/>
            <w:shd w:val="clear" w:color="auto" w:fill="auto"/>
            <w:vAlign w:val="center"/>
          </w:tcPr>
          <w:p w14:paraId="274835C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丹交线</w:t>
            </w:r>
          </w:p>
        </w:tc>
        <w:tc>
          <w:tcPr>
            <w:tcW w:w="319" w:type="pct"/>
            <w:shd w:val="clear" w:color="auto" w:fill="auto"/>
            <w:vAlign w:val="center"/>
          </w:tcPr>
          <w:p w14:paraId="18436A6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S314</w:t>
            </w:r>
          </w:p>
        </w:tc>
        <w:tc>
          <w:tcPr>
            <w:tcW w:w="297" w:type="pct"/>
            <w:shd w:val="clear" w:color="auto" w:fill="auto"/>
            <w:vAlign w:val="center"/>
          </w:tcPr>
          <w:p w14:paraId="6D5504B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新建</w:t>
            </w:r>
          </w:p>
        </w:tc>
        <w:tc>
          <w:tcPr>
            <w:tcW w:w="529" w:type="pct"/>
            <w:shd w:val="clear" w:color="auto" w:fill="auto"/>
            <w:vAlign w:val="center"/>
          </w:tcPr>
          <w:p w14:paraId="71A20B5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城山镇</w:t>
            </w:r>
          </w:p>
        </w:tc>
        <w:tc>
          <w:tcPr>
            <w:tcW w:w="529" w:type="pct"/>
            <w:shd w:val="clear" w:color="auto" w:fill="auto"/>
            <w:vAlign w:val="center"/>
          </w:tcPr>
          <w:p w14:paraId="709ABB6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碧流河</w:t>
            </w:r>
          </w:p>
        </w:tc>
        <w:tc>
          <w:tcPr>
            <w:tcW w:w="227" w:type="pct"/>
            <w:shd w:val="clear" w:color="auto" w:fill="auto"/>
            <w:vAlign w:val="center"/>
          </w:tcPr>
          <w:p w14:paraId="7B158AA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047445B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190" w:type="pct"/>
            <w:shd w:val="clear" w:color="auto" w:fill="auto"/>
            <w:vAlign w:val="center"/>
          </w:tcPr>
          <w:p w14:paraId="7BA24CD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C6C025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6A2C33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D27AEE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66DCE6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w:t>
            </w:r>
          </w:p>
        </w:tc>
        <w:tc>
          <w:tcPr>
            <w:tcW w:w="190" w:type="pct"/>
            <w:shd w:val="clear" w:color="auto" w:fill="auto"/>
            <w:noWrap/>
            <w:vAlign w:val="center"/>
          </w:tcPr>
          <w:p w14:paraId="4D9504C3">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68E48C8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w:t>
            </w:r>
          </w:p>
        </w:tc>
        <w:tc>
          <w:tcPr>
            <w:tcW w:w="227" w:type="pct"/>
            <w:shd w:val="clear" w:color="auto" w:fill="auto"/>
            <w:noWrap/>
            <w:vAlign w:val="center"/>
          </w:tcPr>
          <w:p w14:paraId="22EFC8CC">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63F704F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16863CD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9000</w:t>
            </w:r>
          </w:p>
        </w:tc>
      </w:tr>
      <w:tr w14:paraId="04C1B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340CEC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w:t>
            </w:r>
          </w:p>
        </w:tc>
        <w:tc>
          <w:tcPr>
            <w:tcW w:w="420" w:type="pct"/>
            <w:shd w:val="clear" w:color="auto" w:fill="auto"/>
            <w:vAlign w:val="center"/>
          </w:tcPr>
          <w:p w14:paraId="384A1B4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塔营线</w:t>
            </w:r>
          </w:p>
        </w:tc>
        <w:tc>
          <w:tcPr>
            <w:tcW w:w="319" w:type="pct"/>
            <w:shd w:val="clear" w:color="auto" w:fill="auto"/>
            <w:vAlign w:val="center"/>
          </w:tcPr>
          <w:p w14:paraId="0E059BA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S315</w:t>
            </w:r>
          </w:p>
        </w:tc>
        <w:tc>
          <w:tcPr>
            <w:tcW w:w="297" w:type="pct"/>
            <w:shd w:val="clear" w:color="auto" w:fill="auto"/>
            <w:vAlign w:val="center"/>
          </w:tcPr>
          <w:p w14:paraId="08324C1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改扩建</w:t>
            </w:r>
          </w:p>
        </w:tc>
        <w:tc>
          <w:tcPr>
            <w:tcW w:w="529" w:type="pct"/>
            <w:shd w:val="clear" w:color="auto" w:fill="auto"/>
            <w:vAlign w:val="center"/>
          </w:tcPr>
          <w:p w14:paraId="0C9DB4B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大河沿（25.213）</w:t>
            </w:r>
          </w:p>
        </w:tc>
        <w:tc>
          <w:tcPr>
            <w:tcW w:w="529" w:type="pct"/>
            <w:shd w:val="clear" w:color="auto" w:fill="auto"/>
            <w:vAlign w:val="center"/>
          </w:tcPr>
          <w:p w14:paraId="192AD0A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猫儿岭（30.157）</w:t>
            </w:r>
          </w:p>
        </w:tc>
        <w:tc>
          <w:tcPr>
            <w:tcW w:w="227" w:type="pct"/>
            <w:shd w:val="clear" w:color="auto" w:fill="auto"/>
            <w:vAlign w:val="center"/>
          </w:tcPr>
          <w:p w14:paraId="1A949B4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2024</w:t>
            </w:r>
          </w:p>
        </w:tc>
        <w:tc>
          <w:tcPr>
            <w:tcW w:w="227" w:type="pct"/>
            <w:shd w:val="clear" w:color="auto" w:fill="auto"/>
            <w:vAlign w:val="center"/>
          </w:tcPr>
          <w:p w14:paraId="5214994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7B490704">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B9F1692">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131AB1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97D793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4.94</w:t>
            </w:r>
          </w:p>
        </w:tc>
        <w:tc>
          <w:tcPr>
            <w:tcW w:w="227" w:type="pct"/>
            <w:shd w:val="clear" w:color="auto" w:fill="auto"/>
            <w:vAlign w:val="center"/>
          </w:tcPr>
          <w:p w14:paraId="6D9FB6A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4.94</w:t>
            </w:r>
          </w:p>
        </w:tc>
        <w:tc>
          <w:tcPr>
            <w:tcW w:w="190" w:type="pct"/>
            <w:shd w:val="clear" w:color="auto" w:fill="auto"/>
            <w:noWrap/>
            <w:vAlign w:val="center"/>
          </w:tcPr>
          <w:p w14:paraId="232EFAB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C53F97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4.94</w:t>
            </w:r>
          </w:p>
        </w:tc>
        <w:tc>
          <w:tcPr>
            <w:tcW w:w="227" w:type="pct"/>
            <w:shd w:val="clear" w:color="auto" w:fill="auto"/>
            <w:noWrap/>
            <w:vAlign w:val="center"/>
          </w:tcPr>
          <w:p w14:paraId="1C974286">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71DFC9CC">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314D7D0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3955</w:t>
            </w:r>
          </w:p>
        </w:tc>
      </w:tr>
      <w:tr w14:paraId="57110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69B3B1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10</w:t>
            </w:r>
          </w:p>
        </w:tc>
        <w:tc>
          <w:tcPr>
            <w:tcW w:w="420" w:type="pct"/>
            <w:shd w:val="clear" w:color="auto" w:fill="auto"/>
            <w:vAlign w:val="center"/>
          </w:tcPr>
          <w:p w14:paraId="5C35B8F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青永线</w:t>
            </w:r>
          </w:p>
        </w:tc>
        <w:tc>
          <w:tcPr>
            <w:tcW w:w="319" w:type="pct"/>
            <w:shd w:val="clear" w:color="auto" w:fill="auto"/>
            <w:vAlign w:val="center"/>
          </w:tcPr>
          <w:p w14:paraId="1406BC7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S316</w:t>
            </w:r>
          </w:p>
        </w:tc>
        <w:tc>
          <w:tcPr>
            <w:tcW w:w="297" w:type="pct"/>
            <w:shd w:val="clear" w:color="auto" w:fill="auto"/>
            <w:vAlign w:val="center"/>
          </w:tcPr>
          <w:p w14:paraId="617A0DE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227458D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青堆（0）</w:t>
            </w:r>
          </w:p>
        </w:tc>
        <w:tc>
          <w:tcPr>
            <w:tcW w:w="529" w:type="pct"/>
            <w:shd w:val="clear" w:color="auto" w:fill="auto"/>
            <w:vAlign w:val="center"/>
          </w:tcPr>
          <w:p w14:paraId="64812EF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青堆（3.909）</w:t>
            </w:r>
          </w:p>
        </w:tc>
        <w:tc>
          <w:tcPr>
            <w:tcW w:w="227" w:type="pct"/>
            <w:shd w:val="clear" w:color="auto" w:fill="auto"/>
            <w:vAlign w:val="center"/>
          </w:tcPr>
          <w:p w14:paraId="4AF35AB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74EB5BD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190" w:type="pct"/>
            <w:shd w:val="clear" w:color="auto" w:fill="auto"/>
            <w:vAlign w:val="center"/>
          </w:tcPr>
          <w:p w14:paraId="0430417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A4D63B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3.9</w:t>
            </w:r>
          </w:p>
        </w:tc>
        <w:tc>
          <w:tcPr>
            <w:tcW w:w="227" w:type="pct"/>
            <w:shd w:val="clear" w:color="auto" w:fill="auto"/>
            <w:vAlign w:val="center"/>
          </w:tcPr>
          <w:p w14:paraId="15F6BD92">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5D340F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46FFCA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3.91</w:t>
            </w:r>
          </w:p>
        </w:tc>
        <w:tc>
          <w:tcPr>
            <w:tcW w:w="190" w:type="pct"/>
            <w:shd w:val="clear" w:color="auto" w:fill="auto"/>
            <w:noWrap/>
            <w:vAlign w:val="center"/>
          </w:tcPr>
          <w:p w14:paraId="573D547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6DEF88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3.91</w:t>
            </w:r>
          </w:p>
        </w:tc>
        <w:tc>
          <w:tcPr>
            <w:tcW w:w="227" w:type="pct"/>
            <w:shd w:val="clear" w:color="auto" w:fill="auto"/>
            <w:noWrap/>
            <w:vAlign w:val="center"/>
          </w:tcPr>
          <w:p w14:paraId="12F05671">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2930DDE8">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52BDD13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782</w:t>
            </w:r>
          </w:p>
        </w:tc>
      </w:tr>
      <w:tr w14:paraId="571C5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43611F2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w:t>
            </w:r>
          </w:p>
        </w:tc>
        <w:tc>
          <w:tcPr>
            <w:tcW w:w="420" w:type="pct"/>
            <w:shd w:val="clear" w:color="auto" w:fill="auto"/>
            <w:vAlign w:val="center"/>
          </w:tcPr>
          <w:p w14:paraId="7FF47BF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青永线</w:t>
            </w:r>
          </w:p>
        </w:tc>
        <w:tc>
          <w:tcPr>
            <w:tcW w:w="319" w:type="pct"/>
            <w:shd w:val="clear" w:color="auto" w:fill="auto"/>
            <w:vAlign w:val="center"/>
          </w:tcPr>
          <w:p w14:paraId="6145D04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S316</w:t>
            </w:r>
          </w:p>
        </w:tc>
        <w:tc>
          <w:tcPr>
            <w:tcW w:w="297" w:type="pct"/>
            <w:shd w:val="clear" w:color="auto" w:fill="auto"/>
            <w:vAlign w:val="center"/>
          </w:tcPr>
          <w:p w14:paraId="4E53601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6F9A7D0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青堆（4.424）</w:t>
            </w:r>
          </w:p>
        </w:tc>
        <w:tc>
          <w:tcPr>
            <w:tcW w:w="529" w:type="pct"/>
            <w:shd w:val="clear" w:color="auto" w:fill="auto"/>
            <w:vAlign w:val="center"/>
          </w:tcPr>
          <w:p w14:paraId="14BBE04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四家子（30.444）</w:t>
            </w:r>
          </w:p>
        </w:tc>
        <w:tc>
          <w:tcPr>
            <w:tcW w:w="227" w:type="pct"/>
            <w:shd w:val="clear" w:color="auto" w:fill="auto"/>
            <w:vAlign w:val="center"/>
          </w:tcPr>
          <w:p w14:paraId="06987A3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227" w:type="pct"/>
            <w:shd w:val="clear" w:color="auto" w:fill="auto"/>
            <w:vAlign w:val="center"/>
          </w:tcPr>
          <w:p w14:paraId="2296133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726CAA8D">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DD7E78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26</w:t>
            </w:r>
          </w:p>
        </w:tc>
        <w:tc>
          <w:tcPr>
            <w:tcW w:w="227" w:type="pct"/>
            <w:shd w:val="clear" w:color="auto" w:fill="auto"/>
            <w:vAlign w:val="center"/>
          </w:tcPr>
          <w:p w14:paraId="6EDAB74E">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7B7162F">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5DAE3D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26</w:t>
            </w:r>
          </w:p>
        </w:tc>
        <w:tc>
          <w:tcPr>
            <w:tcW w:w="190" w:type="pct"/>
            <w:shd w:val="clear" w:color="auto" w:fill="auto"/>
            <w:noWrap/>
            <w:vAlign w:val="center"/>
          </w:tcPr>
          <w:p w14:paraId="59627B2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21A6F4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26</w:t>
            </w:r>
          </w:p>
        </w:tc>
        <w:tc>
          <w:tcPr>
            <w:tcW w:w="227" w:type="pct"/>
            <w:shd w:val="clear" w:color="auto" w:fill="auto"/>
            <w:noWrap/>
            <w:vAlign w:val="center"/>
          </w:tcPr>
          <w:p w14:paraId="3B2C3C9B">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2B1DCE2B">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317B028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5204</w:t>
            </w:r>
          </w:p>
        </w:tc>
      </w:tr>
      <w:tr w14:paraId="17EEB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89" w:type="pct"/>
            <w:gridSpan w:val="2"/>
            <w:shd w:val="clear" w:color="auto" w:fill="auto"/>
            <w:vAlign w:val="center"/>
          </w:tcPr>
          <w:p w14:paraId="74A71BA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县级公路</w:t>
            </w:r>
          </w:p>
        </w:tc>
        <w:tc>
          <w:tcPr>
            <w:tcW w:w="319" w:type="pct"/>
            <w:shd w:val="clear" w:color="auto" w:fill="auto"/>
            <w:vAlign w:val="center"/>
          </w:tcPr>
          <w:p w14:paraId="49DDAF29">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5895A6B6">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002986C3">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542396DE">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45FAD0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57E8AE4">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32A3051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190" w:type="pct"/>
            <w:shd w:val="clear" w:color="auto" w:fill="auto"/>
            <w:vAlign w:val="center"/>
          </w:tcPr>
          <w:p w14:paraId="330779B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71</w:t>
            </w:r>
          </w:p>
        </w:tc>
        <w:tc>
          <w:tcPr>
            <w:tcW w:w="227" w:type="pct"/>
            <w:shd w:val="clear" w:color="auto" w:fill="auto"/>
            <w:vAlign w:val="center"/>
          </w:tcPr>
          <w:p w14:paraId="40D5D91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w:t>
            </w:r>
          </w:p>
        </w:tc>
        <w:tc>
          <w:tcPr>
            <w:tcW w:w="227" w:type="pct"/>
            <w:shd w:val="clear" w:color="auto" w:fill="auto"/>
            <w:vAlign w:val="center"/>
          </w:tcPr>
          <w:p w14:paraId="66F73A1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57CC7F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83.1</w:t>
            </w:r>
          </w:p>
        </w:tc>
        <w:tc>
          <w:tcPr>
            <w:tcW w:w="190" w:type="pct"/>
            <w:shd w:val="clear" w:color="auto" w:fill="auto"/>
            <w:vAlign w:val="center"/>
          </w:tcPr>
          <w:p w14:paraId="0F113F3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227" w:type="pct"/>
            <w:shd w:val="clear" w:color="auto" w:fill="auto"/>
            <w:vAlign w:val="center"/>
          </w:tcPr>
          <w:p w14:paraId="23B379C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71</w:t>
            </w:r>
          </w:p>
        </w:tc>
        <w:tc>
          <w:tcPr>
            <w:tcW w:w="227" w:type="pct"/>
            <w:shd w:val="clear" w:color="auto" w:fill="auto"/>
            <w:vAlign w:val="center"/>
          </w:tcPr>
          <w:p w14:paraId="375280E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w:t>
            </w:r>
          </w:p>
        </w:tc>
        <w:tc>
          <w:tcPr>
            <w:tcW w:w="190" w:type="pct"/>
            <w:shd w:val="clear" w:color="auto" w:fill="auto"/>
            <w:vAlign w:val="center"/>
          </w:tcPr>
          <w:p w14:paraId="7327388A">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42B0E93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16379.2</w:t>
            </w:r>
          </w:p>
        </w:tc>
      </w:tr>
      <w:tr w14:paraId="6C6D4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BB0DCA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w:t>
            </w:r>
          </w:p>
        </w:tc>
        <w:tc>
          <w:tcPr>
            <w:tcW w:w="420" w:type="pct"/>
            <w:shd w:val="clear" w:color="auto" w:fill="auto"/>
            <w:vAlign w:val="center"/>
          </w:tcPr>
          <w:p w14:paraId="0B0E803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庄龙线</w:t>
            </w:r>
          </w:p>
        </w:tc>
        <w:tc>
          <w:tcPr>
            <w:tcW w:w="319" w:type="pct"/>
            <w:shd w:val="clear" w:color="auto" w:fill="auto"/>
            <w:vAlign w:val="center"/>
          </w:tcPr>
          <w:p w14:paraId="465872C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X202</w:t>
            </w:r>
          </w:p>
        </w:tc>
        <w:tc>
          <w:tcPr>
            <w:tcW w:w="297" w:type="pct"/>
            <w:shd w:val="clear" w:color="auto" w:fill="auto"/>
            <w:vAlign w:val="center"/>
          </w:tcPr>
          <w:p w14:paraId="4A37FEC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6135105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海洋（11.941）</w:t>
            </w:r>
          </w:p>
        </w:tc>
        <w:tc>
          <w:tcPr>
            <w:tcW w:w="529" w:type="pct"/>
            <w:shd w:val="clear" w:color="auto" w:fill="auto"/>
            <w:vAlign w:val="center"/>
          </w:tcPr>
          <w:p w14:paraId="4BC1F9A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沙岗（15.428）</w:t>
            </w:r>
          </w:p>
        </w:tc>
        <w:tc>
          <w:tcPr>
            <w:tcW w:w="227" w:type="pct"/>
            <w:shd w:val="clear" w:color="auto" w:fill="auto"/>
            <w:vAlign w:val="center"/>
          </w:tcPr>
          <w:p w14:paraId="6B947B0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227" w:type="pct"/>
            <w:shd w:val="clear" w:color="auto" w:fill="auto"/>
            <w:vAlign w:val="center"/>
          </w:tcPr>
          <w:p w14:paraId="3A3F935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190" w:type="pct"/>
            <w:shd w:val="clear" w:color="auto" w:fill="auto"/>
            <w:vAlign w:val="center"/>
          </w:tcPr>
          <w:p w14:paraId="3403DFB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3AB814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3.5</w:t>
            </w:r>
          </w:p>
        </w:tc>
        <w:tc>
          <w:tcPr>
            <w:tcW w:w="227" w:type="pct"/>
            <w:shd w:val="clear" w:color="auto" w:fill="auto"/>
            <w:vAlign w:val="center"/>
          </w:tcPr>
          <w:p w14:paraId="358A2614">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FE39F1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A5AF65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3.49</w:t>
            </w:r>
          </w:p>
        </w:tc>
        <w:tc>
          <w:tcPr>
            <w:tcW w:w="190" w:type="pct"/>
            <w:shd w:val="clear" w:color="auto" w:fill="auto"/>
            <w:noWrap/>
            <w:vAlign w:val="center"/>
          </w:tcPr>
          <w:p w14:paraId="7EA86DC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E88116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3.49</w:t>
            </w:r>
          </w:p>
        </w:tc>
        <w:tc>
          <w:tcPr>
            <w:tcW w:w="227" w:type="pct"/>
            <w:shd w:val="clear" w:color="auto" w:fill="auto"/>
            <w:noWrap/>
            <w:vAlign w:val="center"/>
          </w:tcPr>
          <w:p w14:paraId="65119455">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6E7465E1">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0275634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697</w:t>
            </w:r>
          </w:p>
        </w:tc>
      </w:tr>
      <w:tr w14:paraId="1942E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6684F4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w:t>
            </w:r>
          </w:p>
        </w:tc>
        <w:tc>
          <w:tcPr>
            <w:tcW w:w="420" w:type="pct"/>
            <w:shd w:val="clear" w:color="auto" w:fill="auto"/>
            <w:vAlign w:val="center"/>
          </w:tcPr>
          <w:p w14:paraId="5AB641D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庄茧线</w:t>
            </w:r>
          </w:p>
        </w:tc>
        <w:tc>
          <w:tcPr>
            <w:tcW w:w="319" w:type="pct"/>
            <w:shd w:val="clear" w:color="auto" w:fill="auto"/>
            <w:vAlign w:val="center"/>
          </w:tcPr>
          <w:p w14:paraId="1D09AAC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X203</w:t>
            </w:r>
          </w:p>
        </w:tc>
        <w:tc>
          <w:tcPr>
            <w:tcW w:w="297" w:type="pct"/>
            <w:shd w:val="clear" w:color="auto" w:fill="auto"/>
            <w:vAlign w:val="center"/>
          </w:tcPr>
          <w:p w14:paraId="16E978E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15D0CD6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崔店（37.161）</w:t>
            </w:r>
          </w:p>
        </w:tc>
        <w:tc>
          <w:tcPr>
            <w:tcW w:w="529" w:type="pct"/>
            <w:shd w:val="clear" w:color="auto" w:fill="auto"/>
            <w:vAlign w:val="center"/>
          </w:tcPr>
          <w:p w14:paraId="0664AFD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茧场（59.482）</w:t>
            </w:r>
          </w:p>
        </w:tc>
        <w:tc>
          <w:tcPr>
            <w:tcW w:w="227" w:type="pct"/>
            <w:shd w:val="clear" w:color="auto" w:fill="auto"/>
            <w:vAlign w:val="center"/>
          </w:tcPr>
          <w:p w14:paraId="5FBA0F7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7FF00B9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190" w:type="pct"/>
            <w:shd w:val="clear" w:color="auto" w:fill="auto"/>
            <w:vAlign w:val="center"/>
          </w:tcPr>
          <w:p w14:paraId="36F98502">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D707F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w:t>
            </w:r>
          </w:p>
        </w:tc>
        <w:tc>
          <w:tcPr>
            <w:tcW w:w="227" w:type="pct"/>
            <w:shd w:val="clear" w:color="auto" w:fill="auto"/>
            <w:vAlign w:val="center"/>
          </w:tcPr>
          <w:p w14:paraId="7FE9B8D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465CE7A">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0AEF03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22.3</w:t>
            </w:r>
          </w:p>
        </w:tc>
        <w:tc>
          <w:tcPr>
            <w:tcW w:w="190" w:type="pct"/>
            <w:shd w:val="clear" w:color="auto" w:fill="auto"/>
            <w:noWrap/>
            <w:vAlign w:val="center"/>
          </w:tcPr>
          <w:p w14:paraId="22425C4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6DAD1A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22.3</w:t>
            </w:r>
          </w:p>
        </w:tc>
        <w:tc>
          <w:tcPr>
            <w:tcW w:w="227" w:type="pct"/>
            <w:shd w:val="clear" w:color="auto" w:fill="auto"/>
            <w:noWrap/>
            <w:vAlign w:val="center"/>
          </w:tcPr>
          <w:p w14:paraId="73A9E6E8">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580C3A0E">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81C1AF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4464</w:t>
            </w:r>
          </w:p>
        </w:tc>
      </w:tr>
      <w:tr w14:paraId="254D1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627FFD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w:t>
            </w:r>
          </w:p>
        </w:tc>
        <w:tc>
          <w:tcPr>
            <w:tcW w:w="420" w:type="pct"/>
            <w:shd w:val="clear" w:color="auto" w:fill="auto"/>
            <w:vAlign w:val="center"/>
          </w:tcPr>
          <w:p w14:paraId="378D97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英楼线</w:t>
            </w:r>
          </w:p>
        </w:tc>
        <w:tc>
          <w:tcPr>
            <w:tcW w:w="319" w:type="pct"/>
            <w:shd w:val="clear" w:color="auto" w:fill="auto"/>
            <w:vAlign w:val="center"/>
          </w:tcPr>
          <w:p w14:paraId="4E0705A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X204</w:t>
            </w:r>
          </w:p>
        </w:tc>
        <w:tc>
          <w:tcPr>
            <w:tcW w:w="297" w:type="pct"/>
            <w:shd w:val="clear" w:color="auto" w:fill="auto"/>
            <w:vAlign w:val="center"/>
          </w:tcPr>
          <w:p w14:paraId="7E7166E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5F85C0C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英烈士（0）</w:t>
            </w:r>
          </w:p>
        </w:tc>
        <w:tc>
          <w:tcPr>
            <w:tcW w:w="529" w:type="pct"/>
            <w:shd w:val="clear" w:color="auto" w:fill="auto"/>
            <w:vAlign w:val="center"/>
          </w:tcPr>
          <w:p w14:paraId="29424F5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黑岛（14.088）</w:t>
            </w:r>
          </w:p>
        </w:tc>
        <w:tc>
          <w:tcPr>
            <w:tcW w:w="227" w:type="pct"/>
            <w:shd w:val="clear" w:color="auto" w:fill="auto"/>
            <w:vAlign w:val="center"/>
          </w:tcPr>
          <w:p w14:paraId="6FE99DE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227" w:type="pct"/>
            <w:shd w:val="clear" w:color="auto" w:fill="auto"/>
            <w:vAlign w:val="center"/>
          </w:tcPr>
          <w:p w14:paraId="705BB20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2021</w:t>
            </w:r>
          </w:p>
        </w:tc>
        <w:tc>
          <w:tcPr>
            <w:tcW w:w="190" w:type="pct"/>
            <w:shd w:val="clear" w:color="auto" w:fill="auto"/>
            <w:vAlign w:val="center"/>
          </w:tcPr>
          <w:p w14:paraId="08CACF21">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778EB3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w:t>
            </w:r>
          </w:p>
        </w:tc>
        <w:tc>
          <w:tcPr>
            <w:tcW w:w="227" w:type="pct"/>
            <w:shd w:val="clear" w:color="auto" w:fill="auto"/>
            <w:vAlign w:val="center"/>
          </w:tcPr>
          <w:p w14:paraId="24E3BE93">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012C5F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B41C09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14.1</w:t>
            </w:r>
          </w:p>
        </w:tc>
        <w:tc>
          <w:tcPr>
            <w:tcW w:w="190" w:type="pct"/>
            <w:shd w:val="clear" w:color="auto" w:fill="auto"/>
            <w:noWrap/>
            <w:vAlign w:val="center"/>
          </w:tcPr>
          <w:p w14:paraId="24873B1A">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72F315D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14.1</w:t>
            </w:r>
          </w:p>
        </w:tc>
        <w:tc>
          <w:tcPr>
            <w:tcW w:w="227" w:type="pct"/>
            <w:shd w:val="clear" w:color="auto" w:fill="auto"/>
            <w:noWrap/>
            <w:vAlign w:val="center"/>
          </w:tcPr>
          <w:p w14:paraId="729A6259">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27BBF0D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701308F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2818</w:t>
            </w:r>
          </w:p>
        </w:tc>
      </w:tr>
      <w:tr w14:paraId="3F2F9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926A12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w:t>
            </w:r>
          </w:p>
        </w:tc>
        <w:tc>
          <w:tcPr>
            <w:tcW w:w="420" w:type="pct"/>
            <w:shd w:val="clear" w:color="auto" w:fill="auto"/>
            <w:vAlign w:val="center"/>
          </w:tcPr>
          <w:p w14:paraId="7A003A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栗南线</w:t>
            </w:r>
          </w:p>
        </w:tc>
        <w:tc>
          <w:tcPr>
            <w:tcW w:w="319" w:type="pct"/>
            <w:shd w:val="clear" w:color="auto" w:fill="auto"/>
            <w:vAlign w:val="center"/>
          </w:tcPr>
          <w:p w14:paraId="75E2F69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X205</w:t>
            </w:r>
          </w:p>
        </w:tc>
        <w:tc>
          <w:tcPr>
            <w:tcW w:w="297" w:type="pct"/>
            <w:shd w:val="clear" w:color="auto" w:fill="auto"/>
            <w:vAlign w:val="center"/>
          </w:tcPr>
          <w:p w14:paraId="1F1BB9A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05AD322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栗子房（0）</w:t>
            </w:r>
          </w:p>
        </w:tc>
        <w:tc>
          <w:tcPr>
            <w:tcW w:w="529" w:type="pct"/>
            <w:shd w:val="clear" w:color="auto" w:fill="auto"/>
            <w:vAlign w:val="center"/>
          </w:tcPr>
          <w:p w14:paraId="606AB64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南尖（16.29）</w:t>
            </w:r>
          </w:p>
        </w:tc>
        <w:tc>
          <w:tcPr>
            <w:tcW w:w="227" w:type="pct"/>
            <w:shd w:val="clear" w:color="auto" w:fill="auto"/>
            <w:vAlign w:val="center"/>
          </w:tcPr>
          <w:p w14:paraId="78DF71A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2F18AFF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190" w:type="pct"/>
            <w:shd w:val="clear" w:color="auto" w:fill="auto"/>
            <w:vAlign w:val="center"/>
          </w:tcPr>
          <w:p w14:paraId="6122B67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0.8</w:t>
            </w:r>
          </w:p>
        </w:tc>
        <w:tc>
          <w:tcPr>
            <w:tcW w:w="190" w:type="pct"/>
            <w:shd w:val="clear" w:color="auto" w:fill="auto"/>
            <w:vAlign w:val="center"/>
          </w:tcPr>
          <w:p w14:paraId="0BBE23F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w:t>
            </w:r>
          </w:p>
        </w:tc>
        <w:tc>
          <w:tcPr>
            <w:tcW w:w="227" w:type="pct"/>
            <w:shd w:val="clear" w:color="auto" w:fill="auto"/>
            <w:vAlign w:val="center"/>
          </w:tcPr>
          <w:p w14:paraId="1876411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4.33</w:t>
            </w:r>
          </w:p>
        </w:tc>
        <w:tc>
          <w:tcPr>
            <w:tcW w:w="227" w:type="pct"/>
            <w:shd w:val="clear" w:color="auto" w:fill="auto"/>
            <w:vAlign w:val="center"/>
          </w:tcPr>
          <w:p w14:paraId="0BAC46C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B24334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16.3</w:t>
            </w:r>
          </w:p>
        </w:tc>
        <w:tc>
          <w:tcPr>
            <w:tcW w:w="190" w:type="pct"/>
            <w:shd w:val="clear" w:color="auto" w:fill="auto"/>
            <w:vAlign w:val="center"/>
          </w:tcPr>
          <w:p w14:paraId="66D1309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0.8</w:t>
            </w:r>
          </w:p>
        </w:tc>
        <w:tc>
          <w:tcPr>
            <w:tcW w:w="227" w:type="pct"/>
            <w:shd w:val="clear" w:color="auto" w:fill="auto"/>
            <w:vAlign w:val="center"/>
          </w:tcPr>
          <w:p w14:paraId="024126F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11.1</w:t>
            </w:r>
          </w:p>
        </w:tc>
        <w:tc>
          <w:tcPr>
            <w:tcW w:w="227" w:type="pct"/>
            <w:shd w:val="clear" w:color="auto" w:fill="auto"/>
            <w:vAlign w:val="center"/>
          </w:tcPr>
          <w:p w14:paraId="1881522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4.33</w:t>
            </w:r>
          </w:p>
        </w:tc>
        <w:tc>
          <w:tcPr>
            <w:tcW w:w="190" w:type="pct"/>
            <w:shd w:val="clear" w:color="auto" w:fill="auto"/>
            <w:noWrap/>
            <w:vAlign w:val="center"/>
          </w:tcPr>
          <w:p w14:paraId="3438D239">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02E5A67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3209</w:t>
            </w:r>
          </w:p>
        </w:tc>
      </w:tr>
      <w:tr w14:paraId="65907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1EC7489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w:t>
            </w:r>
          </w:p>
        </w:tc>
        <w:tc>
          <w:tcPr>
            <w:tcW w:w="420" w:type="pct"/>
            <w:shd w:val="clear" w:color="auto" w:fill="auto"/>
            <w:vAlign w:val="center"/>
          </w:tcPr>
          <w:p w14:paraId="5E39457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大吴线</w:t>
            </w:r>
          </w:p>
        </w:tc>
        <w:tc>
          <w:tcPr>
            <w:tcW w:w="319" w:type="pct"/>
            <w:shd w:val="clear" w:color="auto" w:fill="auto"/>
            <w:vAlign w:val="center"/>
          </w:tcPr>
          <w:p w14:paraId="5629BF7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X206</w:t>
            </w:r>
          </w:p>
        </w:tc>
        <w:tc>
          <w:tcPr>
            <w:tcW w:w="297" w:type="pct"/>
            <w:shd w:val="clear" w:color="auto" w:fill="auto"/>
            <w:vAlign w:val="center"/>
          </w:tcPr>
          <w:p w14:paraId="1AA21F2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5891F17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大营（0）</w:t>
            </w:r>
          </w:p>
        </w:tc>
        <w:tc>
          <w:tcPr>
            <w:tcW w:w="529" w:type="pct"/>
            <w:shd w:val="clear" w:color="auto" w:fill="auto"/>
            <w:vAlign w:val="center"/>
          </w:tcPr>
          <w:p w14:paraId="71EA057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吴炉（15.155）</w:t>
            </w:r>
          </w:p>
        </w:tc>
        <w:tc>
          <w:tcPr>
            <w:tcW w:w="227" w:type="pct"/>
            <w:shd w:val="clear" w:color="auto" w:fill="auto"/>
            <w:vAlign w:val="center"/>
          </w:tcPr>
          <w:p w14:paraId="39E0F49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227" w:type="pct"/>
            <w:shd w:val="clear" w:color="auto" w:fill="auto"/>
            <w:vAlign w:val="center"/>
          </w:tcPr>
          <w:p w14:paraId="0613DB4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2025</w:t>
            </w:r>
          </w:p>
        </w:tc>
        <w:tc>
          <w:tcPr>
            <w:tcW w:w="190" w:type="pct"/>
            <w:shd w:val="clear" w:color="auto" w:fill="auto"/>
            <w:vAlign w:val="center"/>
          </w:tcPr>
          <w:p w14:paraId="42CF58B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0.7</w:t>
            </w:r>
          </w:p>
        </w:tc>
        <w:tc>
          <w:tcPr>
            <w:tcW w:w="190" w:type="pct"/>
            <w:shd w:val="clear" w:color="auto" w:fill="auto"/>
            <w:vAlign w:val="center"/>
          </w:tcPr>
          <w:p w14:paraId="278BCB0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w:t>
            </w:r>
          </w:p>
        </w:tc>
        <w:tc>
          <w:tcPr>
            <w:tcW w:w="227" w:type="pct"/>
            <w:shd w:val="clear" w:color="auto" w:fill="auto"/>
            <w:vAlign w:val="center"/>
          </w:tcPr>
          <w:p w14:paraId="38F8EE9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0E5D3E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BFFDFF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15.2</w:t>
            </w:r>
          </w:p>
        </w:tc>
        <w:tc>
          <w:tcPr>
            <w:tcW w:w="190" w:type="pct"/>
            <w:shd w:val="clear" w:color="auto" w:fill="auto"/>
            <w:vAlign w:val="center"/>
          </w:tcPr>
          <w:p w14:paraId="32411C9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0.7</w:t>
            </w:r>
          </w:p>
        </w:tc>
        <w:tc>
          <w:tcPr>
            <w:tcW w:w="227" w:type="pct"/>
            <w:shd w:val="clear" w:color="auto" w:fill="auto"/>
            <w:vAlign w:val="center"/>
          </w:tcPr>
          <w:p w14:paraId="06F3B13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14.5</w:t>
            </w:r>
          </w:p>
        </w:tc>
        <w:tc>
          <w:tcPr>
            <w:tcW w:w="227" w:type="pct"/>
            <w:shd w:val="clear" w:color="auto" w:fill="auto"/>
            <w:noWrap/>
            <w:vAlign w:val="center"/>
          </w:tcPr>
          <w:p w14:paraId="4DE26053">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009625BA">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1B31EE5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3162</w:t>
            </w:r>
          </w:p>
        </w:tc>
      </w:tr>
      <w:tr w14:paraId="61632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7246AD81">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w:t>
            </w:r>
          </w:p>
        </w:tc>
        <w:tc>
          <w:tcPr>
            <w:tcW w:w="420" w:type="pct"/>
            <w:shd w:val="clear" w:color="auto" w:fill="auto"/>
            <w:vAlign w:val="center"/>
          </w:tcPr>
          <w:p w14:paraId="1C7B113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端牛线</w:t>
            </w:r>
          </w:p>
        </w:tc>
        <w:tc>
          <w:tcPr>
            <w:tcW w:w="319" w:type="pct"/>
            <w:shd w:val="clear" w:color="auto" w:fill="auto"/>
            <w:vAlign w:val="center"/>
          </w:tcPr>
          <w:p w14:paraId="385065C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X265</w:t>
            </w:r>
          </w:p>
        </w:tc>
        <w:tc>
          <w:tcPr>
            <w:tcW w:w="297" w:type="pct"/>
            <w:shd w:val="clear" w:color="auto" w:fill="auto"/>
            <w:vAlign w:val="center"/>
          </w:tcPr>
          <w:p w14:paraId="7F5DC50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4B5D9FA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端头（0）</w:t>
            </w:r>
          </w:p>
        </w:tc>
        <w:tc>
          <w:tcPr>
            <w:tcW w:w="529" w:type="pct"/>
            <w:shd w:val="clear" w:color="auto" w:fill="auto"/>
            <w:vAlign w:val="center"/>
          </w:tcPr>
          <w:p w14:paraId="61C27CF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牛石圈（7.491）</w:t>
            </w:r>
          </w:p>
        </w:tc>
        <w:tc>
          <w:tcPr>
            <w:tcW w:w="227" w:type="pct"/>
            <w:shd w:val="clear" w:color="auto" w:fill="auto"/>
            <w:vAlign w:val="center"/>
          </w:tcPr>
          <w:p w14:paraId="7D42065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227" w:type="pct"/>
            <w:shd w:val="clear" w:color="auto" w:fill="auto"/>
            <w:vAlign w:val="center"/>
          </w:tcPr>
          <w:p w14:paraId="68FB4C2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2022</w:t>
            </w:r>
          </w:p>
        </w:tc>
        <w:tc>
          <w:tcPr>
            <w:tcW w:w="190" w:type="pct"/>
            <w:shd w:val="clear" w:color="auto" w:fill="auto"/>
            <w:vAlign w:val="center"/>
          </w:tcPr>
          <w:p w14:paraId="0BA4F4F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2578E0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5.3</w:t>
            </w:r>
          </w:p>
        </w:tc>
        <w:tc>
          <w:tcPr>
            <w:tcW w:w="227" w:type="pct"/>
            <w:shd w:val="clear" w:color="auto" w:fill="auto"/>
            <w:vAlign w:val="center"/>
          </w:tcPr>
          <w:p w14:paraId="03F0E057">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ADB20C1">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38459F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5.34</w:t>
            </w:r>
          </w:p>
        </w:tc>
        <w:tc>
          <w:tcPr>
            <w:tcW w:w="190" w:type="pct"/>
            <w:shd w:val="clear" w:color="auto" w:fill="auto"/>
            <w:noWrap/>
            <w:vAlign w:val="center"/>
          </w:tcPr>
          <w:p w14:paraId="177C2802">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11178EF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5.34</w:t>
            </w:r>
          </w:p>
        </w:tc>
        <w:tc>
          <w:tcPr>
            <w:tcW w:w="227" w:type="pct"/>
            <w:shd w:val="clear" w:color="auto" w:fill="auto"/>
            <w:noWrap/>
            <w:vAlign w:val="center"/>
          </w:tcPr>
          <w:p w14:paraId="4FD3B8EC">
            <w:pPr>
              <w:spacing w:line="240" w:lineRule="auto"/>
              <w:ind w:firstLine="0" w:firstLineChars="0"/>
              <w:jc w:val="center"/>
              <w:rPr>
                <w:rFonts w:ascii="仿宋" w:hAnsi="仿宋"/>
                <w:color w:val="000000"/>
                <w:kern w:val="0"/>
                <w:sz w:val="21"/>
                <w:szCs w:val="21"/>
              </w:rPr>
            </w:pPr>
          </w:p>
        </w:tc>
        <w:tc>
          <w:tcPr>
            <w:tcW w:w="190" w:type="pct"/>
            <w:shd w:val="clear" w:color="auto" w:fill="auto"/>
            <w:noWrap/>
            <w:vAlign w:val="center"/>
          </w:tcPr>
          <w:p w14:paraId="086A1BDE">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9BBB6DD">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1068</w:t>
            </w:r>
          </w:p>
        </w:tc>
      </w:tr>
      <w:tr w14:paraId="0EC07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69" w:type="pct"/>
            <w:shd w:val="clear" w:color="auto" w:fill="auto"/>
            <w:vAlign w:val="center"/>
          </w:tcPr>
          <w:p w14:paraId="3376C2B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7</w:t>
            </w:r>
          </w:p>
        </w:tc>
        <w:tc>
          <w:tcPr>
            <w:tcW w:w="420" w:type="pct"/>
            <w:shd w:val="clear" w:color="auto" w:fill="auto"/>
            <w:vAlign w:val="center"/>
          </w:tcPr>
          <w:p w14:paraId="6E19233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山后线</w:t>
            </w:r>
          </w:p>
        </w:tc>
        <w:tc>
          <w:tcPr>
            <w:tcW w:w="319" w:type="pct"/>
            <w:shd w:val="clear" w:color="auto" w:fill="auto"/>
            <w:vAlign w:val="center"/>
          </w:tcPr>
          <w:p w14:paraId="556930C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X266</w:t>
            </w:r>
          </w:p>
        </w:tc>
        <w:tc>
          <w:tcPr>
            <w:tcW w:w="297" w:type="pct"/>
            <w:shd w:val="clear" w:color="auto" w:fill="auto"/>
            <w:vAlign w:val="center"/>
          </w:tcPr>
          <w:p w14:paraId="3F80171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大中修</w:t>
            </w:r>
          </w:p>
        </w:tc>
        <w:tc>
          <w:tcPr>
            <w:tcW w:w="529" w:type="pct"/>
            <w:shd w:val="clear" w:color="auto" w:fill="auto"/>
            <w:vAlign w:val="center"/>
          </w:tcPr>
          <w:p w14:paraId="3002589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山东屯（0）</w:t>
            </w:r>
          </w:p>
        </w:tc>
        <w:tc>
          <w:tcPr>
            <w:tcW w:w="529" w:type="pct"/>
            <w:shd w:val="clear" w:color="auto" w:fill="auto"/>
            <w:vAlign w:val="center"/>
          </w:tcPr>
          <w:p w14:paraId="650DA27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后滩屯（6.407）</w:t>
            </w:r>
          </w:p>
        </w:tc>
        <w:tc>
          <w:tcPr>
            <w:tcW w:w="227" w:type="pct"/>
            <w:shd w:val="clear" w:color="auto" w:fill="auto"/>
            <w:vAlign w:val="center"/>
          </w:tcPr>
          <w:p w14:paraId="571FD5D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227" w:type="pct"/>
            <w:shd w:val="clear" w:color="auto" w:fill="auto"/>
            <w:vAlign w:val="center"/>
          </w:tcPr>
          <w:p w14:paraId="7B5AEAD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2023</w:t>
            </w:r>
          </w:p>
        </w:tc>
        <w:tc>
          <w:tcPr>
            <w:tcW w:w="190" w:type="pct"/>
            <w:shd w:val="clear" w:color="auto" w:fill="auto"/>
            <w:vAlign w:val="center"/>
          </w:tcPr>
          <w:p w14:paraId="69F16A71">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D8D4D9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0E659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6.41</w:t>
            </w:r>
          </w:p>
        </w:tc>
        <w:tc>
          <w:tcPr>
            <w:tcW w:w="227" w:type="pct"/>
            <w:shd w:val="clear" w:color="auto" w:fill="auto"/>
            <w:vAlign w:val="center"/>
          </w:tcPr>
          <w:p w14:paraId="0011921B">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D1ED91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6.41</w:t>
            </w:r>
          </w:p>
        </w:tc>
        <w:tc>
          <w:tcPr>
            <w:tcW w:w="190" w:type="pct"/>
            <w:shd w:val="clear" w:color="auto" w:fill="auto"/>
            <w:noWrap/>
            <w:vAlign w:val="center"/>
          </w:tcPr>
          <w:p w14:paraId="637B4BE7">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0C1BD0C3">
            <w:pPr>
              <w:spacing w:line="240" w:lineRule="auto"/>
              <w:ind w:firstLine="0" w:firstLineChars="0"/>
              <w:jc w:val="center"/>
              <w:rPr>
                <w:rFonts w:ascii="仿宋" w:hAnsi="仿宋"/>
                <w:color w:val="000000"/>
                <w:kern w:val="0"/>
                <w:sz w:val="21"/>
                <w:szCs w:val="21"/>
              </w:rPr>
            </w:pPr>
          </w:p>
        </w:tc>
        <w:tc>
          <w:tcPr>
            <w:tcW w:w="227" w:type="pct"/>
            <w:shd w:val="clear" w:color="auto" w:fill="auto"/>
            <w:noWrap/>
            <w:vAlign w:val="center"/>
          </w:tcPr>
          <w:p w14:paraId="22247546">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6.41</w:t>
            </w:r>
          </w:p>
        </w:tc>
        <w:tc>
          <w:tcPr>
            <w:tcW w:w="190" w:type="pct"/>
            <w:shd w:val="clear" w:color="auto" w:fill="auto"/>
            <w:noWrap/>
            <w:vAlign w:val="center"/>
          </w:tcPr>
          <w:p w14:paraId="6BB3CD40">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6BD613B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961</w:t>
            </w:r>
          </w:p>
        </w:tc>
      </w:tr>
      <w:tr w14:paraId="689F9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89" w:type="pct"/>
            <w:gridSpan w:val="2"/>
            <w:shd w:val="clear" w:color="auto" w:fill="auto"/>
            <w:vAlign w:val="center"/>
          </w:tcPr>
          <w:p w14:paraId="09B62F1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乡级公路</w:t>
            </w:r>
          </w:p>
        </w:tc>
        <w:tc>
          <w:tcPr>
            <w:tcW w:w="319" w:type="pct"/>
            <w:shd w:val="clear" w:color="auto" w:fill="auto"/>
            <w:vAlign w:val="center"/>
          </w:tcPr>
          <w:p w14:paraId="2D39408D">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086E27BC">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04F707DB">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13F504A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9C00E9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7FCE990">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C98F4F4">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72FA24F5">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168AF90">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155</w:t>
            </w:r>
          </w:p>
        </w:tc>
        <w:tc>
          <w:tcPr>
            <w:tcW w:w="227" w:type="pct"/>
            <w:shd w:val="clear" w:color="auto" w:fill="auto"/>
            <w:vAlign w:val="center"/>
          </w:tcPr>
          <w:p w14:paraId="2823D1C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1345894">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155</w:t>
            </w:r>
          </w:p>
        </w:tc>
        <w:tc>
          <w:tcPr>
            <w:tcW w:w="190" w:type="pct"/>
            <w:shd w:val="clear" w:color="auto" w:fill="auto"/>
            <w:vAlign w:val="center"/>
          </w:tcPr>
          <w:p w14:paraId="5036E01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43FF55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4B4C90E">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155</w:t>
            </w:r>
          </w:p>
        </w:tc>
        <w:tc>
          <w:tcPr>
            <w:tcW w:w="190" w:type="pct"/>
            <w:shd w:val="clear" w:color="auto" w:fill="auto"/>
            <w:vAlign w:val="center"/>
          </w:tcPr>
          <w:p w14:paraId="2691D084">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42F914CC">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11635.58</w:t>
            </w:r>
          </w:p>
        </w:tc>
      </w:tr>
      <w:tr w14:paraId="4AD26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589" w:type="pct"/>
            <w:gridSpan w:val="2"/>
            <w:shd w:val="clear" w:color="auto" w:fill="auto"/>
            <w:vAlign w:val="center"/>
          </w:tcPr>
          <w:p w14:paraId="4E42709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村级公路</w:t>
            </w:r>
          </w:p>
        </w:tc>
        <w:tc>
          <w:tcPr>
            <w:tcW w:w="319" w:type="pct"/>
            <w:shd w:val="clear" w:color="auto" w:fill="auto"/>
            <w:vAlign w:val="center"/>
          </w:tcPr>
          <w:p w14:paraId="65E58E18">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32890EA1">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4F02FD25">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40B6594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2E8C7ED2">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EE9F955">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510F10D0">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4A04DAB9">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747B8E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227" w:type="pct"/>
            <w:shd w:val="clear" w:color="auto" w:fill="auto"/>
            <w:vAlign w:val="center"/>
          </w:tcPr>
          <w:p w14:paraId="558D83FB">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948</w:t>
            </w:r>
          </w:p>
        </w:tc>
        <w:tc>
          <w:tcPr>
            <w:tcW w:w="227" w:type="pct"/>
            <w:shd w:val="clear" w:color="auto" w:fill="auto"/>
            <w:vAlign w:val="center"/>
          </w:tcPr>
          <w:p w14:paraId="310D1D02">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978</w:t>
            </w:r>
          </w:p>
        </w:tc>
        <w:tc>
          <w:tcPr>
            <w:tcW w:w="190" w:type="pct"/>
            <w:shd w:val="clear" w:color="auto" w:fill="auto"/>
            <w:vAlign w:val="center"/>
          </w:tcPr>
          <w:p w14:paraId="5F1EB3F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7EBB7B8">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8F3DA4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30</w:t>
            </w:r>
          </w:p>
        </w:tc>
        <w:tc>
          <w:tcPr>
            <w:tcW w:w="190" w:type="pct"/>
            <w:shd w:val="clear" w:color="auto" w:fill="auto"/>
            <w:vAlign w:val="center"/>
          </w:tcPr>
          <w:p w14:paraId="6E096D6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948</w:t>
            </w:r>
          </w:p>
        </w:tc>
        <w:tc>
          <w:tcPr>
            <w:tcW w:w="378" w:type="pct"/>
            <w:shd w:val="clear" w:color="auto" w:fill="auto"/>
            <w:vAlign w:val="center"/>
          </w:tcPr>
          <w:p w14:paraId="7AB69DD8">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63858.71</w:t>
            </w:r>
          </w:p>
        </w:tc>
      </w:tr>
      <w:tr w14:paraId="208C7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89" w:type="pct"/>
            <w:gridSpan w:val="2"/>
            <w:shd w:val="clear" w:color="auto" w:fill="auto"/>
            <w:vAlign w:val="center"/>
          </w:tcPr>
          <w:p w14:paraId="2A0B03A8">
            <w:pPr>
              <w:spacing w:line="240" w:lineRule="auto"/>
              <w:ind w:firstLine="0" w:firstLineChars="0"/>
              <w:jc w:val="center"/>
              <w:rPr>
                <w:rFonts w:hint="eastAsia"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eastAsia="zh-CN"/>
              </w:rPr>
              <w:t>乡村级公路</w:t>
            </w:r>
          </w:p>
        </w:tc>
        <w:tc>
          <w:tcPr>
            <w:tcW w:w="319" w:type="pct"/>
            <w:shd w:val="clear" w:color="auto" w:fill="auto"/>
            <w:vAlign w:val="center"/>
          </w:tcPr>
          <w:p w14:paraId="5EF82F08">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297" w:type="pct"/>
            <w:shd w:val="clear" w:color="auto" w:fill="auto"/>
            <w:vAlign w:val="center"/>
          </w:tcPr>
          <w:p w14:paraId="61702F08">
            <w:pPr>
              <w:spacing w:line="240" w:lineRule="auto"/>
              <w:ind w:firstLine="0" w:firstLineChars="0"/>
              <w:jc w:val="center"/>
              <w:rPr>
                <w:rFonts w:hint="eastAsia"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eastAsia="zh-CN"/>
              </w:rPr>
              <w:t>新建</w:t>
            </w:r>
          </w:p>
        </w:tc>
        <w:tc>
          <w:tcPr>
            <w:tcW w:w="529" w:type="pct"/>
            <w:shd w:val="clear" w:color="auto" w:fill="auto"/>
            <w:vAlign w:val="center"/>
          </w:tcPr>
          <w:p w14:paraId="2049653E">
            <w:pPr>
              <w:spacing w:line="240" w:lineRule="auto"/>
              <w:ind w:firstLine="0" w:firstLineChars="0"/>
              <w:jc w:val="center"/>
              <w:rPr>
                <w:rFonts w:hint="eastAsia"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eastAsia="zh-CN"/>
              </w:rPr>
              <w:t>栗子房镇兴隆村、大屯村</w:t>
            </w:r>
          </w:p>
        </w:tc>
        <w:tc>
          <w:tcPr>
            <w:tcW w:w="529" w:type="pct"/>
            <w:shd w:val="clear" w:color="auto" w:fill="auto"/>
            <w:vAlign w:val="center"/>
          </w:tcPr>
          <w:p w14:paraId="5166B0C1">
            <w:pPr>
              <w:spacing w:line="240" w:lineRule="auto"/>
              <w:ind w:firstLine="0" w:firstLineChars="0"/>
              <w:jc w:val="center"/>
              <w:rPr>
                <w:rFonts w:hint="eastAsia"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eastAsia="zh-CN"/>
              </w:rPr>
              <w:t>栗子房镇南尖村、陶屯村</w:t>
            </w:r>
          </w:p>
        </w:tc>
        <w:tc>
          <w:tcPr>
            <w:tcW w:w="227" w:type="pct"/>
            <w:shd w:val="clear" w:color="auto" w:fill="auto"/>
            <w:vAlign w:val="center"/>
          </w:tcPr>
          <w:p w14:paraId="66B26B76">
            <w:pPr>
              <w:spacing w:line="240" w:lineRule="auto"/>
              <w:ind w:firstLine="0" w:firstLineChars="0"/>
              <w:jc w:val="center"/>
              <w:rPr>
                <w:rFonts w:hint="default"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val="en-US" w:eastAsia="zh-CN"/>
              </w:rPr>
              <w:t>2025</w:t>
            </w:r>
          </w:p>
        </w:tc>
        <w:tc>
          <w:tcPr>
            <w:tcW w:w="227" w:type="pct"/>
            <w:shd w:val="clear" w:color="auto" w:fill="auto"/>
            <w:vAlign w:val="center"/>
          </w:tcPr>
          <w:p w14:paraId="3E1473D1">
            <w:pPr>
              <w:spacing w:line="240" w:lineRule="auto"/>
              <w:ind w:firstLine="0" w:firstLineChars="0"/>
              <w:jc w:val="center"/>
              <w:rPr>
                <w:rFonts w:hint="default"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val="en-US" w:eastAsia="zh-CN"/>
              </w:rPr>
              <w:t>2025</w:t>
            </w:r>
          </w:p>
        </w:tc>
        <w:tc>
          <w:tcPr>
            <w:tcW w:w="190" w:type="pct"/>
            <w:shd w:val="clear" w:color="auto" w:fill="auto"/>
            <w:vAlign w:val="center"/>
          </w:tcPr>
          <w:p w14:paraId="24514D69">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190" w:type="pct"/>
            <w:shd w:val="clear" w:color="auto" w:fill="auto"/>
            <w:vAlign w:val="center"/>
          </w:tcPr>
          <w:p w14:paraId="4699B76F">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227" w:type="pct"/>
            <w:shd w:val="clear" w:color="auto" w:fill="auto"/>
            <w:vAlign w:val="center"/>
          </w:tcPr>
          <w:p w14:paraId="013497A2">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227" w:type="pct"/>
            <w:shd w:val="clear" w:color="auto" w:fill="auto"/>
            <w:vAlign w:val="center"/>
          </w:tcPr>
          <w:p w14:paraId="54966AB5">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227" w:type="pct"/>
            <w:shd w:val="clear" w:color="auto" w:fill="auto"/>
            <w:vAlign w:val="center"/>
          </w:tcPr>
          <w:p w14:paraId="28308921">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190" w:type="pct"/>
            <w:shd w:val="clear" w:color="auto" w:fill="auto"/>
            <w:vAlign w:val="center"/>
          </w:tcPr>
          <w:p w14:paraId="42EB747A">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227" w:type="pct"/>
            <w:shd w:val="clear" w:color="auto" w:fill="auto"/>
            <w:vAlign w:val="center"/>
          </w:tcPr>
          <w:p w14:paraId="658380A7">
            <w:pPr>
              <w:spacing w:line="240" w:lineRule="auto"/>
              <w:ind w:firstLine="0" w:firstLineChars="0"/>
              <w:jc w:val="center"/>
              <w:rPr>
                <w:rFonts w:hint="eastAsia"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val="en-US" w:eastAsia="zh-CN"/>
              </w:rPr>
              <w:t>1</w:t>
            </w:r>
          </w:p>
        </w:tc>
        <w:tc>
          <w:tcPr>
            <w:tcW w:w="227" w:type="pct"/>
            <w:shd w:val="clear" w:color="auto" w:fill="auto"/>
            <w:vAlign w:val="center"/>
          </w:tcPr>
          <w:p w14:paraId="2E8E5EC1">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190" w:type="pct"/>
            <w:shd w:val="clear" w:color="auto" w:fill="auto"/>
            <w:vAlign w:val="center"/>
          </w:tcPr>
          <w:p w14:paraId="703AB020">
            <w:pPr>
              <w:spacing w:line="240" w:lineRule="auto"/>
              <w:ind w:firstLine="0" w:firstLineChars="0"/>
              <w:jc w:val="center"/>
              <w:rPr>
                <w:rFonts w:ascii="仿宋" w:hAnsi="仿宋" w:eastAsia="仿宋" w:cs="Times New Roman"/>
                <w:color w:val="000000"/>
                <w:kern w:val="0"/>
                <w:sz w:val="21"/>
                <w:szCs w:val="21"/>
                <w:highlight w:val="none"/>
                <w:lang w:val="en-US" w:eastAsia="zh-CN" w:bidi="ar-SA"/>
              </w:rPr>
            </w:pPr>
          </w:p>
        </w:tc>
        <w:tc>
          <w:tcPr>
            <w:tcW w:w="378" w:type="pct"/>
            <w:shd w:val="clear" w:color="auto" w:fill="auto"/>
            <w:vAlign w:val="center"/>
          </w:tcPr>
          <w:p w14:paraId="3B21E2DC">
            <w:pPr>
              <w:spacing w:line="240" w:lineRule="auto"/>
              <w:ind w:firstLine="0" w:firstLineChars="0"/>
              <w:jc w:val="center"/>
              <w:rPr>
                <w:rFonts w:hint="default" w:ascii="仿宋" w:hAnsi="仿宋" w:eastAsia="仿宋" w:cs="Times New Roman"/>
                <w:color w:val="000000"/>
                <w:kern w:val="0"/>
                <w:sz w:val="21"/>
                <w:szCs w:val="21"/>
                <w:highlight w:val="none"/>
                <w:lang w:val="en-US" w:eastAsia="zh-CN" w:bidi="ar-SA"/>
              </w:rPr>
            </w:pPr>
            <w:r>
              <w:rPr>
                <w:rFonts w:hint="eastAsia" w:ascii="仿宋" w:hAnsi="仿宋"/>
                <w:color w:val="000000"/>
                <w:kern w:val="0"/>
                <w:sz w:val="21"/>
                <w:szCs w:val="21"/>
                <w:highlight w:val="none"/>
                <w:lang w:val="en-US" w:eastAsia="zh-CN"/>
              </w:rPr>
              <w:t>1800</w:t>
            </w:r>
          </w:p>
        </w:tc>
      </w:tr>
      <w:tr w14:paraId="6EDBD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89" w:type="pct"/>
            <w:gridSpan w:val="2"/>
            <w:shd w:val="clear" w:color="auto" w:fill="auto"/>
            <w:vAlign w:val="center"/>
          </w:tcPr>
          <w:p w14:paraId="049B0657">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旅游路</w:t>
            </w:r>
          </w:p>
        </w:tc>
        <w:tc>
          <w:tcPr>
            <w:tcW w:w="319" w:type="pct"/>
            <w:shd w:val="clear" w:color="auto" w:fill="auto"/>
            <w:vAlign w:val="center"/>
          </w:tcPr>
          <w:p w14:paraId="4A4EE16A">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4F2A86FC">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2D894578">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063AD0DB">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96B273F">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ECD4C84">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4FD395F">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18ECE0C">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3E8388B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57208C9A">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6BECBA9">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13.3</w:t>
            </w:r>
          </w:p>
        </w:tc>
        <w:tc>
          <w:tcPr>
            <w:tcW w:w="190" w:type="pct"/>
            <w:shd w:val="clear" w:color="auto" w:fill="auto"/>
            <w:vAlign w:val="center"/>
          </w:tcPr>
          <w:p w14:paraId="3097D27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B71B7F5">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13</w:t>
            </w:r>
          </w:p>
        </w:tc>
        <w:tc>
          <w:tcPr>
            <w:tcW w:w="227" w:type="pct"/>
            <w:shd w:val="clear" w:color="auto" w:fill="auto"/>
            <w:vAlign w:val="center"/>
          </w:tcPr>
          <w:p w14:paraId="64AB0998">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109BF306">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49C6E8BF">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25000</w:t>
            </w:r>
          </w:p>
        </w:tc>
      </w:tr>
      <w:tr w14:paraId="47D84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89" w:type="pct"/>
            <w:gridSpan w:val="2"/>
            <w:shd w:val="clear" w:color="auto" w:fill="auto"/>
            <w:vAlign w:val="center"/>
          </w:tcPr>
          <w:p w14:paraId="01E3A4FA">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其他</w:t>
            </w:r>
          </w:p>
        </w:tc>
        <w:tc>
          <w:tcPr>
            <w:tcW w:w="319" w:type="pct"/>
            <w:shd w:val="clear" w:color="auto" w:fill="auto"/>
            <w:vAlign w:val="center"/>
          </w:tcPr>
          <w:p w14:paraId="153CB4DC">
            <w:pPr>
              <w:spacing w:line="240" w:lineRule="auto"/>
              <w:ind w:firstLine="0" w:firstLineChars="0"/>
              <w:jc w:val="center"/>
              <w:rPr>
                <w:rFonts w:ascii="仿宋" w:hAnsi="仿宋"/>
                <w:color w:val="000000"/>
                <w:kern w:val="0"/>
                <w:sz w:val="21"/>
                <w:szCs w:val="21"/>
              </w:rPr>
            </w:pPr>
          </w:p>
        </w:tc>
        <w:tc>
          <w:tcPr>
            <w:tcW w:w="297" w:type="pct"/>
            <w:shd w:val="clear" w:color="auto" w:fill="auto"/>
            <w:vAlign w:val="center"/>
          </w:tcPr>
          <w:p w14:paraId="54F30B94">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0B100B54">
            <w:pPr>
              <w:spacing w:line="240" w:lineRule="auto"/>
              <w:ind w:firstLine="0" w:firstLineChars="0"/>
              <w:jc w:val="center"/>
              <w:rPr>
                <w:rFonts w:ascii="仿宋" w:hAnsi="仿宋"/>
                <w:color w:val="000000"/>
                <w:kern w:val="0"/>
                <w:sz w:val="21"/>
                <w:szCs w:val="21"/>
              </w:rPr>
            </w:pPr>
          </w:p>
        </w:tc>
        <w:tc>
          <w:tcPr>
            <w:tcW w:w="529" w:type="pct"/>
            <w:shd w:val="clear" w:color="auto" w:fill="auto"/>
            <w:vAlign w:val="center"/>
          </w:tcPr>
          <w:p w14:paraId="018F51D6">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2433AAF">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182F3168">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5871C19">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0B4DE991">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706042A">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4CDAAAB4">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7BD3A75C">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01C86AD0">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00B660BE">
            <w:pPr>
              <w:spacing w:line="240" w:lineRule="auto"/>
              <w:ind w:firstLine="0" w:firstLineChars="0"/>
              <w:jc w:val="center"/>
              <w:rPr>
                <w:rFonts w:ascii="仿宋" w:hAnsi="仿宋"/>
                <w:color w:val="000000"/>
                <w:kern w:val="0"/>
                <w:sz w:val="21"/>
                <w:szCs w:val="21"/>
              </w:rPr>
            </w:pPr>
          </w:p>
        </w:tc>
        <w:tc>
          <w:tcPr>
            <w:tcW w:w="227" w:type="pct"/>
            <w:shd w:val="clear" w:color="auto" w:fill="auto"/>
            <w:vAlign w:val="center"/>
          </w:tcPr>
          <w:p w14:paraId="6FAA0ED2">
            <w:pPr>
              <w:spacing w:line="240" w:lineRule="auto"/>
              <w:ind w:firstLine="0" w:firstLineChars="0"/>
              <w:jc w:val="center"/>
              <w:rPr>
                <w:rFonts w:ascii="仿宋" w:hAnsi="仿宋"/>
                <w:color w:val="000000"/>
                <w:kern w:val="0"/>
                <w:sz w:val="21"/>
                <w:szCs w:val="21"/>
              </w:rPr>
            </w:pPr>
          </w:p>
        </w:tc>
        <w:tc>
          <w:tcPr>
            <w:tcW w:w="190" w:type="pct"/>
            <w:shd w:val="clear" w:color="auto" w:fill="auto"/>
            <w:vAlign w:val="center"/>
          </w:tcPr>
          <w:p w14:paraId="6A078F28">
            <w:pPr>
              <w:spacing w:line="240" w:lineRule="auto"/>
              <w:ind w:firstLine="0" w:firstLineChars="0"/>
              <w:jc w:val="center"/>
              <w:rPr>
                <w:rFonts w:ascii="仿宋" w:hAnsi="仿宋"/>
                <w:color w:val="000000"/>
                <w:kern w:val="0"/>
                <w:sz w:val="21"/>
                <w:szCs w:val="21"/>
              </w:rPr>
            </w:pPr>
          </w:p>
        </w:tc>
        <w:tc>
          <w:tcPr>
            <w:tcW w:w="378" w:type="pct"/>
            <w:shd w:val="clear" w:color="auto" w:fill="auto"/>
            <w:vAlign w:val="center"/>
          </w:tcPr>
          <w:p w14:paraId="3F0BEEE3">
            <w:pPr>
              <w:spacing w:line="240" w:lineRule="auto"/>
              <w:ind w:firstLine="0" w:firstLineChars="0"/>
              <w:jc w:val="center"/>
              <w:rPr>
                <w:rFonts w:ascii="仿宋" w:hAnsi="仿宋"/>
                <w:color w:val="000000"/>
                <w:kern w:val="0"/>
                <w:sz w:val="21"/>
                <w:szCs w:val="21"/>
              </w:rPr>
            </w:pPr>
            <w:r>
              <w:rPr>
                <w:rFonts w:ascii="仿宋" w:hAnsi="仿宋"/>
                <w:color w:val="000000"/>
                <w:kern w:val="0"/>
                <w:sz w:val="21"/>
                <w:szCs w:val="21"/>
              </w:rPr>
              <w:t>263582</w:t>
            </w:r>
          </w:p>
        </w:tc>
      </w:tr>
      <w:bookmarkEnd w:id="39"/>
    </w:tbl>
    <w:p w14:paraId="723905EE">
      <w:pPr>
        <w:pStyle w:val="2"/>
        <w:ind w:firstLine="0" w:firstLineChars="0"/>
        <w:sectPr>
          <w:pgSz w:w="16838" w:h="11906" w:orient="landscape"/>
          <w:pgMar w:top="1797" w:right="1440" w:bottom="1797" w:left="1440" w:header="851" w:footer="992" w:gutter="0"/>
          <w:cols w:space="425" w:num="1"/>
          <w:docGrid w:linePitch="312" w:charSpace="0"/>
        </w:sectPr>
      </w:pPr>
    </w:p>
    <w:p w14:paraId="688C753F">
      <w:pPr>
        <w:pStyle w:val="3"/>
        <w:spacing w:before="0" w:after="220" w:line="360" w:lineRule="auto"/>
        <w:jc w:val="left"/>
        <w:rPr>
          <w:rFonts w:ascii="Times New Roman" w:hAnsi="Times New Roman" w:eastAsia="黑体" w:cs="Times New Roman"/>
          <w:b w:val="0"/>
          <w:sz w:val="30"/>
          <w:szCs w:val="30"/>
        </w:rPr>
      </w:pPr>
      <w:bookmarkStart w:id="40" w:name="_Toc72258224"/>
      <w:r>
        <w:rPr>
          <w:rFonts w:ascii="Times New Roman" w:hAnsi="Times New Roman" w:eastAsia="黑体" w:cs="Times New Roman"/>
          <w:b w:val="0"/>
          <w:sz w:val="30"/>
          <w:szCs w:val="30"/>
        </w:rPr>
        <w:t>五、保障措施</w:t>
      </w:r>
      <w:bookmarkEnd w:id="40"/>
    </w:p>
    <w:p w14:paraId="5423B2C5">
      <w:pPr>
        <w:ind w:firstLine="482"/>
        <w:rPr>
          <w:rFonts w:ascii="仿宋" w:hAnsi="仿宋"/>
          <w:b/>
          <w:sz w:val="24"/>
        </w:rPr>
      </w:pPr>
      <w:r>
        <w:rPr>
          <w:rFonts w:ascii="仿宋" w:hAnsi="仿宋"/>
          <w:b/>
          <w:sz w:val="24"/>
        </w:rPr>
        <w:t>1. 政策保障</w:t>
      </w:r>
    </w:p>
    <w:p w14:paraId="4E3FA97F">
      <w:pPr>
        <w:ind w:firstLine="480"/>
        <w:rPr>
          <w:rFonts w:ascii="仿宋" w:hAnsi="仿宋"/>
          <w:sz w:val="24"/>
        </w:rPr>
      </w:pPr>
      <w:r>
        <w:rPr>
          <w:rFonts w:hint="eastAsia" w:ascii="仿宋" w:hAnsi="仿宋"/>
          <w:sz w:val="24"/>
        </w:rPr>
        <w:t>研究建立支持综合交通运输发展的保障政策，促进交通运输与国土、产业、城镇化、投资、环保等政策协同，从规划层次、资金保障等方面提出具体支持政策，保障综合交通重点项目与主要任务协调推进。结合实际，强化政策创新，重点围绕推进运输结构调整、创新发展多式联运与多模式运输、城市公共交通优先发展、城市公交枢纽场站土地综合开发等领域的支持政策。加强与国家有关部委、辽宁省、大连市有关部门的衔接，积极对上争取相关政策支持，统筹协调处理项目建设中的突出矛盾和难点问题，为项目建设提供保障和支持。</w:t>
      </w:r>
    </w:p>
    <w:p w14:paraId="4B063779">
      <w:pPr>
        <w:ind w:firstLine="482"/>
        <w:rPr>
          <w:rFonts w:ascii="仿宋" w:hAnsi="仿宋"/>
          <w:b/>
          <w:sz w:val="24"/>
        </w:rPr>
      </w:pPr>
      <w:r>
        <w:rPr>
          <w:rFonts w:ascii="仿宋" w:hAnsi="仿宋"/>
          <w:b/>
          <w:sz w:val="24"/>
        </w:rPr>
        <w:t>2. 行政保障</w:t>
      </w:r>
    </w:p>
    <w:p w14:paraId="280B84C0">
      <w:pPr>
        <w:ind w:firstLine="480"/>
        <w:rPr>
          <w:rFonts w:ascii="仿宋" w:hAnsi="仿宋"/>
          <w:sz w:val="24"/>
        </w:rPr>
      </w:pPr>
      <w:r>
        <w:rPr>
          <w:rFonts w:ascii="仿宋" w:hAnsi="仿宋"/>
          <w:sz w:val="24"/>
        </w:rPr>
        <w:t>加强组织领导，保障规划顺利实施。一是落实责任主体，明确相关部门的责任和分工，及时协调解决日常管理中职责不清、配合不力、重视程度不高的问题。二是需要市政府科学、合理确定年度计划，将公路的建设和城市公交养护管理工作的年度计划纳入相关部门年度目标考核，为加强地方公路建设和城市公交养护管理工作创造良好的竞争激励机制，保障公路建设和城市公交养护管理工作的健康、可持续发展。三是主管部门要进一步理顺工作关系，落实项目业主责任，加强项目质量、进度、资金、安全监管，确保公路建设和城市公交养护管理工作顺利开展。</w:t>
      </w:r>
    </w:p>
    <w:p w14:paraId="25E8AB7C">
      <w:pPr>
        <w:ind w:firstLine="482"/>
        <w:rPr>
          <w:rFonts w:ascii="仿宋" w:hAnsi="仿宋"/>
          <w:b/>
          <w:sz w:val="24"/>
        </w:rPr>
      </w:pPr>
      <w:r>
        <w:rPr>
          <w:rFonts w:ascii="仿宋" w:hAnsi="仿宋"/>
          <w:b/>
          <w:sz w:val="24"/>
        </w:rPr>
        <w:t>3. 组织保障</w:t>
      </w:r>
    </w:p>
    <w:p w14:paraId="123FA847">
      <w:pPr>
        <w:pStyle w:val="2"/>
        <w:ind w:firstLine="480"/>
        <w:rPr>
          <w:rFonts w:ascii="仿宋" w:hAnsi="仿宋"/>
          <w:sz w:val="24"/>
        </w:rPr>
      </w:pPr>
      <w:r>
        <w:rPr>
          <w:rFonts w:hint="eastAsia" w:ascii="仿宋" w:hAnsi="仿宋"/>
          <w:sz w:val="24"/>
        </w:rPr>
        <w:t>坚持党的全面领导，充分发挥党总揽全局、协调各方的作用。各区市及有关部门加强沟通配合，建立规划协调机制，细化落实规划确定的主要目标和重点任务，确保规划有序实施。强化政策协同与规划刚性约束，做好综合交通运输规划与国土空间、生态环境等规划的协调衔接，扎实推进重大工程项目建设。</w:t>
      </w:r>
      <w:r>
        <w:rPr>
          <w:rFonts w:ascii="仿宋" w:hAnsi="仿宋"/>
          <w:sz w:val="24"/>
        </w:rPr>
        <w:t>加快前期工作，协调相关部门，创造良好的发展环境。交通运输主管部门负责项目前期工作的规划和调研，加快推进前期工作衔接，积极协调有关部门，加强与发改、财政、国土、规划、城建、公安、环保、水务、民政等相关部门的协调，特别是在“十三五”期间</w:t>
      </w:r>
      <w:r>
        <w:rPr>
          <w:rFonts w:hint="eastAsia" w:ascii="仿宋" w:hAnsi="仿宋"/>
          <w:sz w:val="24"/>
          <w:lang w:eastAsia="zh-CN"/>
        </w:rPr>
        <w:t>，对</w:t>
      </w:r>
      <w:r>
        <w:rPr>
          <w:rFonts w:ascii="仿宋" w:hAnsi="仿宋"/>
          <w:sz w:val="24"/>
        </w:rPr>
        <w:t>《</w:t>
      </w:r>
      <w:r>
        <w:rPr>
          <w:rFonts w:hint="eastAsia" w:ascii="仿宋" w:hAnsi="仿宋"/>
          <w:sz w:val="24"/>
          <w:lang w:eastAsia="zh-CN"/>
        </w:rPr>
        <w:t>国土</w:t>
      </w:r>
      <w:r>
        <w:rPr>
          <w:rFonts w:ascii="仿宋" w:hAnsi="仿宋"/>
          <w:sz w:val="24"/>
        </w:rPr>
        <w:t>中长期规划》进行了修编，相关部门的“十四五”规划相应启动，将本规划项目与相关规划充分对接，为未来的行政审批简化创造条件和依据，为未来公路交通有序发展创造良好的发展环境；建立干线公路和农村公路建设项目前期工作审批的联动机制，适当简化有关审批程序，缩短审批周期，以确保建设工作高效推进。并争取在“十四五”期前，完成大部分需要进行项目前期工作的公路和城市公交建设项目的前期工作，提高工作效率，以确保项目在“十四五”期间按计划开工。</w:t>
      </w:r>
    </w:p>
    <w:p w14:paraId="051D4847">
      <w:pPr>
        <w:ind w:firstLine="482"/>
        <w:rPr>
          <w:rFonts w:ascii="仿宋" w:hAnsi="仿宋"/>
          <w:b/>
          <w:sz w:val="24"/>
        </w:rPr>
      </w:pPr>
      <w:r>
        <w:rPr>
          <w:rFonts w:ascii="仿宋" w:hAnsi="仿宋"/>
          <w:b/>
          <w:sz w:val="24"/>
        </w:rPr>
        <w:t>4. 资金保障</w:t>
      </w:r>
    </w:p>
    <w:p w14:paraId="22B36E74">
      <w:pPr>
        <w:ind w:firstLine="480"/>
        <w:rPr>
          <w:rFonts w:ascii="仿宋" w:hAnsi="仿宋"/>
          <w:sz w:val="24"/>
        </w:rPr>
      </w:pPr>
      <w:r>
        <w:rPr>
          <w:rFonts w:ascii="仿宋" w:hAnsi="仿宋"/>
          <w:sz w:val="24"/>
        </w:rPr>
        <w:t>统筹中央投资与地方投资、政府资源与社会资源，多方筹集资金，加大各级政府财政投入，尽快建立以公共财政投入为主、各级政府责任清晰、财力和事权相匹配的交通投融资长效机制，确保规划如期实施，为项目的顺利推进创造良好条件。</w:t>
      </w:r>
      <w:r>
        <w:rPr>
          <w:rFonts w:hint="eastAsia" w:ascii="仿宋" w:hAnsi="仿宋"/>
          <w:sz w:val="24"/>
        </w:rPr>
        <w:t>建立完善政府主导、分级负责、多元筹资、风险可控的资金保障和运行管理体制。加大对多式联运、集疏运铁路、公路、城市公交、设施智能化升级、设施生态化改造等领域的支持，争取将交通新基建纳入专项债支持范围。规范推进项目实施，鼓励民资和外资参与，拓宽项目资本金来源，盘活项目存量资产，丰富社会资本进入和退出渠道。推动全面实施预算绩效管理，合理安排建设规模与时序，开展资金保障能力评估，加强交通运输行业地方</w:t>
      </w:r>
      <w:r>
        <w:rPr>
          <w:rFonts w:hint="eastAsia" w:ascii="仿宋" w:hAnsi="仿宋"/>
          <w:sz w:val="24"/>
          <w:lang w:eastAsia="zh-CN"/>
        </w:rPr>
        <w:t>政府隐性债务</w:t>
      </w:r>
      <w:r>
        <w:rPr>
          <w:rFonts w:hint="eastAsia" w:ascii="仿宋" w:hAnsi="仿宋"/>
          <w:sz w:val="24"/>
        </w:rPr>
        <w:t>风险防控。</w:t>
      </w:r>
    </w:p>
    <w:p w14:paraId="4C5C791E">
      <w:pPr>
        <w:ind w:firstLine="482"/>
        <w:rPr>
          <w:rFonts w:ascii="仿宋" w:hAnsi="仿宋"/>
          <w:b/>
          <w:sz w:val="24"/>
        </w:rPr>
      </w:pPr>
      <w:r>
        <w:rPr>
          <w:rFonts w:ascii="仿宋" w:hAnsi="仿宋"/>
          <w:b/>
          <w:sz w:val="24"/>
        </w:rPr>
        <w:t>5. 监管保障</w:t>
      </w:r>
    </w:p>
    <w:p w14:paraId="0D0AF89D">
      <w:pPr>
        <w:ind w:firstLine="480"/>
        <w:rPr>
          <w:rFonts w:ascii="仿宋" w:hAnsi="仿宋"/>
          <w:sz w:val="24"/>
        </w:rPr>
      </w:pPr>
      <w:r>
        <w:rPr>
          <w:rFonts w:ascii="仿宋" w:hAnsi="仿宋"/>
          <w:sz w:val="24"/>
        </w:rPr>
        <w:t>全面推行代建制、工程总承包，吸引国内、市内大企业参与项目勘察、设计、施工、监理等工作，以利于引进新的技术和新的管理理念，促进公路建设的可持续发展。</w:t>
      </w:r>
      <w:r>
        <w:rPr>
          <w:rFonts w:hint="eastAsia" w:ascii="仿宋" w:hAnsi="仿宋"/>
          <w:sz w:val="24"/>
        </w:rPr>
        <w:t>交通运输局会同有关单位建立目标任务分解考核，加强规划实施事中事后监管和动态监测分析，适时开展中期评估和建设项目后评估，根据规划落实情况及时动态调整。各相关单位要科学制定配套政策和配置公共资源，妥善解决好涉及区域协同发展的相关规划建设问题。</w:t>
      </w:r>
      <w:r>
        <w:rPr>
          <w:rFonts w:ascii="仿宋" w:hAnsi="仿宋"/>
          <w:sz w:val="24"/>
        </w:rPr>
        <w:t>落实工程项目建设法人制、监理制、合同制、招投标制等相关制度，加强项目建设管理力量，提高项目管理水平，促进工程质量的提升。</w:t>
      </w:r>
    </w:p>
    <w:p w14:paraId="44FD108F">
      <w:pPr>
        <w:ind w:firstLine="482"/>
        <w:rPr>
          <w:rFonts w:ascii="仿宋" w:hAnsi="仿宋"/>
          <w:b/>
          <w:sz w:val="24"/>
        </w:rPr>
      </w:pPr>
      <w:r>
        <w:rPr>
          <w:rFonts w:ascii="仿宋" w:hAnsi="仿宋"/>
          <w:b/>
          <w:sz w:val="24"/>
        </w:rPr>
        <w:t>6. 人才保障</w:t>
      </w:r>
    </w:p>
    <w:p w14:paraId="23C4FF34">
      <w:pPr>
        <w:ind w:firstLine="480"/>
        <w:rPr>
          <w:rFonts w:hint="eastAsia" w:ascii="仿宋" w:hAnsi="仿宋" w:eastAsia="仿宋"/>
          <w:sz w:val="24"/>
          <w:lang w:eastAsia="zh-CN"/>
        </w:rPr>
        <w:sectPr>
          <w:pgSz w:w="11906" w:h="16838"/>
          <w:pgMar w:top="1440" w:right="1797" w:bottom="1440" w:left="1797" w:header="851" w:footer="992" w:gutter="0"/>
          <w:cols w:space="425" w:num="1"/>
          <w:docGrid w:linePitch="312" w:charSpace="0"/>
        </w:sectPr>
      </w:pPr>
      <w:r>
        <w:rPr>
          <w:rFonts w:ascii="仿宋" w:hAnsi="仿宋"/>
          <w:sz w:val="24"/>
        </w:rPr>
        <w:t>加强人才队伍建设，为公路和城市公共交通行业建设与养护管理发展提供人才保障。落实“人才强交”战略，</w:t>
      </w:r>
      <w:r>
        <w:rPr>
          <w:rFonts w:hint="eastAsia" w:ascii="仿宋" w:hAnsi="仿宋"/>
          <w:sz w:val="24"/>
          <w:lang w:eastAsia="zh-CN"/>
        </w:rPr>
        <w:t>加大</w:t>
      </w:r>
      <w:r>
        <w:rPr>
          <w:rFonts w:ascii="仿宋" w:hAnsi="仿宋"/>
          <w:sz w:val="24"/>
        </w:rPr>
        <w:t>交通行业人才培养力度，引进建立良好的人才培养和使用机制，在用好现有专业技术人才的基础上，进一步加强公共交通运输专业技术队伍建设，推进交通专业技术人才的培养和引进工作，同时依托项目大力培养从事交通运输管理和经营的各类高层次高技能复合型专业技术人才，加强技术培训与指导，在实践中培育创新团队，充实行业的技术力量，促进公共交通运输专业技术队伍的建设</w:t>
      </w:r>
      <w:r>
        <w:rPr>
          <w:rFonts w:hint="eastAsia" w:ascii="仿宋" w:hAnsi="仿宋"/>
          <w:sz w:val="24"/>
          <w:lang w:eastAsia="zh-CN"/>
        </w:rPr>
        <w:t>。</w:t>
      </w:r>
    </w:p>
    <w:p w14:paraId="10AF8907">
      <w:pPr>
        <w:ind w:firstLine="0" w:firstLineChars="0"/>
        <w:jc w:val="center"/>
        <w:rPr>
          <w:rFonts w:ascii="仿宋" w:hAnsi="仿宋"/>
          <w:sz w:val="24"/>
        </w:rPr>
      </w:pPr>
      <w:r>
        <w:rPr>
          <w:rFonts w:hint="eastAsia" w:ascii="仿宋" w:hAnsi="仿宋"/>
          <w:sz w:val="24"/>
        </w:rPr>
        <w:t>附录一、庄河市公交线网布局图</w:t>
      </w:r>
    </w:p>
    <w:p w14:paraId="52525195">
      <w:pPr>
        <w:pStyle w:val="2"/>
        <w:ind w:firstLine="560"/>
        <w:jc w:val="center"/>
      </w:pPr>
      <w:r>
        <w:rPr>
          <w:rFonts w:hint="eastAsia"/>
        </w:rPr>
        <w:drawing>
          <wp:inline distT="0" distB="0" distL="0" distR="0">
            <wp:extent cx="8954770" cy="5542280"/>
            <wp:effectExtent l="0" t="0" r="0" b="0"/>
            <wp:docPr id="10" name="规划0828.jpg"/>
            <wp:cNvGraphicFramePr/>
            <a:graphic xmlns:a="http://schemas.openxmlformats.org/drawingml/2006/main">
              <a:graphicData uri="http://schemas.openxmlformats.org/drawingml/2006/picture">
                <pic:pic xmlns:pic="http://schemas.openxmlformats.org/drawingml/2006/picture">
                  <pic:nvPicPr>
                    <pic:cNvPr id="10" name="规划0828.jpg"/>
                    <pic:cNvPicPr/>
                  </pic:nvPicPr>
                  <pic:blipFill>
                    <a:blip r:embed="rId27">
                      <a:extLst>
                        <a:ext uri="{28A0092B-C50C-407E-A947-70E740481C1C}">
                          <a14:useLocalDpi xmlns:a14="http://schemas.microsoft.com/office/drawing/2010/main" val="0"/>
                        </a:ext>
                      </a:extLst>
                    </a:blip>
                    <a:stretch>
                      <a:fillRect/>
                    </a:stretch>
                  </pic:blipFill>
                  <pic:spPr>
                    <a:xfrm>
                      <a:off x="0" y="0"/>
                      <a:ext cx="15516745" cy="9604328"/>
                    </a:xfrm>
                    <a:prstGeom prst="rect">
                      <a:avLst/>
                    </a:prstGeom>
                  </pic:spPr>
                </pic:pic>
              </a:graphicData>
            </a:graphic>
          </wp:inline>
        </w:drawing>
      </w:r>
    </w:p>
    <w:p w14:paraId="7AF2D373">
      <w:pPr>
        <w:ind w:firstLine="0" w:firstLineChars="0"/>
        <w:jc w:val="center"/>
        <w:rPr>
          <w:rFonts w:ascii="仿宋" w:hAnsi="仿宋"/>
          <w:sz w:val="24"/>
        </w:rPr>
      </w:pPr>
      <w:r>
        <w:rPr>
          <w:rFonts w:hint="eastAsia" w:ascii="仿宋" w:hAnsi="仿宋"/>
          <w:sz w:val="24"/>
        </w:rPr>
        <w:t>附录二、快速公交线路布局图（含枢纽）</w:t>
      </w:r>
    </w:p>
    <w:p w14:paraId="38470F79">
      <w:pPr>
        <w:pStyle w:val="2"/>
        <w:ind w:firstLine="560"/>
        <w:jc w:val="center"/>
        <w:rPr>
          <w:rFonts w:hint="eastAsia"/>
        </w:rPr>
      </w:pPr>
      <w:r>
        <w:rPr>
          <w:rFonts w:hint="eastAsia"/>
        </w:rPr>
        <w:drawing>
          <wp:inline distT="0" distB="0" distL="0" distR="0">
            <wp:extent cx="9101455" cy="5464810"/>
            <wp:effectExtent l="0" t="0" r="0" b="0"/>
            <wp:docPr id="4" name="快线+枢纽.jpg"/>
            <wp:cNvGraphicFramePr/>
            <a:graphic xmlns:a="http://schemas.openxmlformats.org/drawingml/2006/main">
              <a:graphicData uri="http://schemas.openxmlformats.org/drawingml/2006/picture">
                <pic:pic xmlns:pic="http://schemas.openxmlformats.org/drawingml/2006/picture">
                  <pic:nvPicPr>
                    <pic:cNvPr id="4" name="快线+枢纽.jpg"/>
                    <pic:cNvPicPr/>
                  </pic:nvPicPr>
                  <pic:blipFill>
                    <a:blip r:embed="rId28">
                      <a:extLst>
                        <a:ext uri="{28A0092B-C50C-407E-A947-70E740481C1C}">
                          <a14:useLocalDpi xmlns:a14="http://schemas.microsoft.com/office/drawing/2010/main" val="0"/>
                        </a:ext>
                      </a:extLst>
                    </a:blip>
                    <a:stretch>
                      <a:fillRect/>
                    </a:stretch>
                  </pic:blipFill>
                  <pic:spPr>
                    <a:xfrm>
                      <a:off x="0" y="0"/>
                      <a:ext cx="9105560" cy="5467591"/>
                    </a:xfrm>
                    <a:prstGeom prst="rect">
                      <a:avLst/>
                    </a:prstGeom>
                  </pic:spPr>
                </pic:pic>
              </a:graphicData>
            </a:graphic>
          </wp:inline>
        </w:drawing>
      </w:r>
    </w:p>
    <w:p w14:paraId="2BAE1DCA">
      <w:pPr>
        <w:pStyle w:val="2"/>
        <w:numPr>
          <w:ilvl w:val="0"/>
          <w:numId w:val="1"/>
        </w:numPr>
        <w:ind w:firstLineChars="0"/>
        <w:jc w:val="center"/>
        <w:rPr>
          <w:rFonts w:ascii="仿宋" w:hAnsi="仿宋"/>
          <w:sz w:val="24"/>
        </w:rPr>
      </w:pPr>
      <w:r>
        <w:rPr>
          <w:rFonts w:ascii="仿宋" w:hAnsi="仿宋"/>
          <w:sz w:val="24"/>
        </w:rPr>
        <w:br w:type="page"/>
      </w:r>
    </w:p>
    <w:p w14:paraId="79ED9C4E">
      <w:pPr>
        <w:pStyle w:val="2"/>
        <w:ind w:firstLine="480"/>
        <w:jc w:val="center"/>
        <w:rPr>
          <w:rFonts w:ascii="仿宋" w:hAnsi="仿宋"/>
          <w:sz w:val="24"/>
        </w:rPr>
      </w:pPr>
      <w:r>
        <w:rPr>
          <w:rFonts w:ascii="仿宋" w:hAnsi="仿宋"/>
          <w:sz w:val="24"/>
        </w:rPr>
        <w:drawing>
          <wp:anchor distT="0" distB="0" distL="114300" distR="114300" simplePos="0" relativeHeight="251661312" behindDoc="0" locked="0" layoutInCell="1" allowOverlap="1">
            <wp:simplePos x="0" y="0"/>
            <wp:positionH relativeFrom="column">
              <wp:posOffset>1403985</wp:posOffset>
            </wp:positionH>
            <wp:positionV relativeFrom="paragraph">
              <wp:posOffset>276225</wp:posOffset>
            </wp:positionV>
            <wp:extent cx="7327900" cy="6235700"/>
            <wp:effectExtent l="0" t="0" r="635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7327900" cy="6235700"/>
                    </a:xfrm>
                    <a:prstGeom prst="rect">
                      <a:avLst/>
                    </a:prstGeom>
                  </pic:spPr>
                </pic:pic>
              </a:graphicData>
            </a:graphic>
          </wp:anchor>
        </w:drawing>
      </w:r>
      <w:r>
        <w:rPr>
          <w:rFonts w:hint="eastAsia" w:ascii="仿宋" w:hAnsi="仿宋"/>
          <w:sz w:val="24"/>
        </w:rPr>
        <w:t>附录三、公路网规划图</w:t>
      </w:r>
      <w:r>
        <w:rPr>
          <w:rFonts w:ascii="仿宋" w:hAnsi="仿宋"/>
          <w:sz w:val="24"/>
        </w:rPr>
        <w:br w:type="page"/>
      </w:r>
    </w:p>
    <w:p w14:paraId="476B97D3">
      <w:pPr>
        <w:pStyle w:val="2"/>
        <w:ind w:firstLine="480"/>
        <w:jc w:val="center"/>
        <w:rPr>
          <w:rFonts w:ascii="仿宋" w:hAnsi="仿宋"/>
          <w:sz w:val="24"/>
        </w:rPr>
      </w:pPr>
      <w:r>
        <w:rPr>
          <w:rFonts w:ascii="仿宋" w:hAnsi="仿宋"/>
          <w:sz w:val="24"/>
        </w:rPr>
        <w:drawing>
          <wp:anchor distT="0" distB="0" distL="114300" distR="114300" simplePos="0" relativeHeight="251662336" behindDoc="0" locked="0" layoutInCell="1" allowOverlap="1">
            <wp:simplePos x="0" y="0"/>
            <wp:positionH relativeFrom="column">
              <wp:posOffset>1521460</wp:posOffset>
            </wp:positionH>
            <wp:positionV relativeFrom="paragraph">
              <wp:posOffset>297815</wp:posOffset>
            </wp:positionV>
            <wp:extent cx="7070725" cy="6031230"/>
            <wp:effectExtent l="0" t="0" r="0" b="762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074071" cy="6034312"/>
                    </a:xfrm>
                    <a:prstGeom prst="rect">
                      <a:avLst/>
                    </a:prstGeom>
                  </pic:spPr>
                </pic:pic>
              </a:graphicData>
            </a:graphic>
          </wp:anchor>
        </w:drawing>
      </w:r>
      <w:r>
        <w:rPr>
          <w:rFonts w:hint="eastAsia" w:ascii="仿宋" w:hAnsi="仿宋"/>
          <w:sz w:val="24"/>
        </w:rPr>
        <w:t>附录四、铁路与港口枢纽规划图</w:t>
      </w:r>
    </w:p>
    <w:p w14:paraId="370C3D50">
      <w:pPr>
        <w:pStyle w:val="2"/>
        <w:ind w:firstLine="480"/>
        <w:jc w:val="center"/>
        <w:rPr>
          <w:rFonts w:ascii="仿宋" w:hAnsi="仿宋"/>
          <w:sz w:val="24"/>
        </w:rPr>
      </w:pPr>
    </w:p>
    <w:sectPr>
      <w:pgSz w:w="16838" w:h="11906" w:orient="landscape"/>
      <w:pgMar w:top="567" w:right="567" w:bottom="567" w:left="567" w:header="851" w:footer="992" w:gutter="0"/>
      <w:cols w:space="425"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等线 Light">
    <w:altName w:val="宋体"/>
    <w:panose1 w:val="02010600030101010101"/>
    <w:charset w:val="86"/>
    <w:family w:val="auto"/>
    <w:pitch w:val="default"/>
    <w:sig w:usb0="00000000" w:usb1="00000000" w:usb2="00000016" w:usb3="00000000" w:csb0="0004000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C1FFE">
    <w:pPr>
      <w:pStyle w:val="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DC9A2">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A95087">
    <w:pPr>
      <w:pStyle w:val="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4017337"/>
      <w:docPartObj>
        <w:docPartGallery w:val="autotext"/>
      </w:docPartObj>
    </w:sdtPr>
    <w:sdtContent>
      <w:p w14:paraId="78262FA6">
        <w:pPr>
          <w:pStyle w:val="7"/>
          <w:ind w:firstLine="360"/>
          <w:jc w:val="center"/>
        </w:pPr>
        <w:r>
          <w:fldChar w:fldCharType="begin"/>
        </w:r>
        <w:r>
          <w:instrText xml:space="preserve">PAGE   \* MERGEFORMAT</w:instrText>
        </w:r>
        <w:r>
          <w:fldChar w:fldCharType="separate"/>
        </w:r>
        <w:r>
          <w:rPr>
            <w:lang w:val="zh-CN"/>
          </w:rPr>
          <w:t>43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BC8A9C">
    <w:pPr>
      <w:pBdr>
        <w:bottom w:val="none" w:color="auto" w:sz="0" w:space="1"/>
      </w:pBdr>
      <w:tabs>
        <w:tab w:val="center" w:pos="4153"/>
      </w:tabs>
      <w:snapToGrid w:val="0"/>
      <w:spacing w:line="240" w:lineRule="auto"/>
      <w:ind w:firstLine="0" w:firstLineChars="0"/>
      <w:jc w:val="left"/>
      <w:rPr>
        <w:rFonts w:ascii="宋体" w:hAnsi="宋体" w:eastAsia="宋体"/>
        <w:b/>
        <w:sz w:val="18"/>
        <w:szCs w:val="18"/>
        <w:lang w:val="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E2DA12">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F47BF7">
    <w:pPr>
      <w:pStyle w:val="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75E3DE1"/>
    <w:multiLevelType w:val="multilevel"/>
    <w:tmpl w:val="675E3DE1"/>
    <w:lvl w:ilvl="0" w:tentative="0">
      <w:start w:val="1"/>
      <w:numFmt w:val="bullet"/>
      <w:lvlText w:val=""/>
      <w:lvlJc w:val="left"/>
      <w:pPr>
        <w:ind w:left="16511" w:hanging="420"/>
      </w:pPr>
      <w:rPr>
        <w:rFonts w:hint="default" w:ascii="Wingdings" w:hAnsi="Wingdings"/>
      </w:rPr>
    </w:lvl>
    <w:lvl w:ilvl="1" w:tentative="0">
      <w:start w:val="1"/>
      <w:numFmt w:val="bullet"/>
      <w:lvlText w:val=""/>
      <w:lvlJc w:val="left"/>
      <w:pPr>
        <w:ind w:left="16931" w:hanging="420"/>
      </w:pPr>
      <w:rPr>
        <w:rFonts w:hint="default" w:ascii="Wingdings" w:hAnsi="Wingdings"/>
      </w:rPr>
    </w:lvl>
    <w:lvl w:ilvl="2" w:tentative="0">
      <w:start w:val="1"/>
      <w:numFmt w:val="bullet"/>
      <w:lvlText w:val=""/>
      <w:lvlJc w:val="left"/>
      <w:pPr>
        <w:ind w:left="17351" w:hanging="420"/>
      </w:pPr>
      <w:rPr>
        <w:rFonts w:hint="default" w:ascii="Wingdings" w:hAnsi="Wingdings"/>
      </w:rPr>
    </w:lvl>
    <w:lvl w:ilvl="3" w:tentative="0">
      <w:start w:val="1"/>
      <w:numFmt w:val="bullet"/>
      <w:lvlText w:val=""/>
      <w:lvlJc w:val="left"/>
      <w:pPr>
        <w:ind w:left="17771" w:hanging="420"/>
      </w:pPr>
      <w:rPr>
        <w:rFonts w:hint="default" w:ascii="Wingdings" w:hAnsi="Wingdings"/>
      </w:rPr>
    </w:lvl>
    <w:lvl w:ilvl="4" w:tentative="0">
      <w:start w:val="1"/>
      <w:numFmt w:val="bullet"/>
      <w:lvlText w:val=""/>
      <w:lvlJc w:val="left"/>
      <w:pPr>
        <w:ind w:left="18191" w:hanging="420"/>
      </w:pPr>
      <w:rPr>
        <w:rFonts w:hint="default" w:ascii="Wingdings" w:hAnsi="Wingdings"/>
      </w:rPr>
    </w:lvl>
    <w:lvl w:ilvl="5" w:tentative="0">
      <w:start w:val="1"/>
      <w:numFmt w:val="bullet"/>
      <w:lvlText w:val=""/>
      <w:lvlJc w:val="left"/>
      <w:pPr>
        <w:ind w:left="18611" w:hanging="420"/>
      </w:pPr>
      <w:rPr>
        <w:rFonts w:hint="default" w:ascii="Wingdings" w:hAnsi="Wingdings"/>
      </w:rPr>
    </w:lvl>
    <w:lvl w:ilvl="6" w:tentative="0">
      <w:start w:val="1"/>
      <w:numFmt w:val="bullet"/>
      <w:lvlText w:val=""/>
      <w:lvlJc w:val="left"/>
      <w:pPr>
        <w:ind w:left="19031" w:hanging="420"/>
      </w:pPr>
      <w:rPr>
        <w:rFonts w:hint="default" w:ascii="Wingdings" w:hAnsi="Wingdings"/>
      </w:rPr>
    </w:lvl>
    <w:lvl w:ilvl="7" w:tentative="0">
      <w:start w:val="1"/>
      <w:numFmt w:val="bullet"/>
      <w:lvlText w:val=""/>
      <w:lvlJc w:val="left"/>
      <w:pPr>
        <w:ind w:left="19451" w:hanging="420"/>
      </w:pPr>
      <w:rPr>
        <w:rFonts w:hint="default" w:ascii="Wingdings" w:hAnsi="Wingdings"/>
      </w:rPr>
    </w:lvl>
    <w:lvl w:ilvl="8" w:tentative="0">
      <w:start w:val="1"/>
      <w:numFmt w:val="bullet"/>
      <w:lvlText w:val=""/>
      <w:lvlJc w:val="left"/>
      <w:pPr>
        <w:ind w:left="19871"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40"/>
  <w:drawingGridVerticalSpacing w:val="381"/>
  <w:displayHorizontalDrawingGridEvery w:val="0"/>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3B3"/>
    <w:rsid w:val="00015DE7"/>
    <w:rsid w:val="00023B4A"/>
    <w:rsid w:val="00025E7D"/>
    <w:rsid w:val="000553FD"/>
    <w:rsid w:val="000640E5"/>
    <w:rsid w:val="0006728D"/>
    <w:rsid w:val="00085FC9"/>
    <w:rsid w:val="0008670F"/>
    <w:rsid w:val="0008719E"/>
    <w:rsid w:val="0009326B"/>
    <w:rsid w:val="00096A15"/>
    <w:rsid w:val="000B409E"/>
    <w:rsid w:val="000B4161"/>
    <w:rsid w:val="000D2891"/>
    <w:rsid w:val="000E6C7E"/>
    <w:rsid w:val="000F47F7"/>
    <w:rsid w:val="001305B1"/>
    <w:rsid w:val="00130E51"/>
    <w:rsid w:val="00144B5F"/>
    <w:rsid w:val="00157156"/>
    <w:rsid w:val="00160ECB"/>
    <w:rsid w:val="00162EF9"/>
    <w:rsid w:val="00171C96"/>
    <w:rsid w:val="00196090"/>
    <w:rsid w:val="001B3639"/>
    <w:rsid w:val="001C2889"/>
    <w:rsid w:val="001C545D"/>
    <w:rsid w:val="001D5987"/>
    <w:rsid w:val="001E0237"/>
    <w:rsid w:val="001E688A"/>
    <w:rsid w:val="002062D0"/>
    <w:rsid w:val="00225DA8"/>
    <w:rsid w:val="00225F66"/>
    <w:rsid w:val="00252C91"/>
    <w:rsid w:val="002573B3"/>
    <w:rsid w:val="00263844"/>
    <w:rsid w:val="0027649E"/>
    <w:rsid w:val="00287A27"/>
    <w:rsid w:val="00295C8B"/>
    <w:rsid w:val="002970AF"/>
    <w:rsid w:val="002B184C"/>
    <w:rsid w:val="002C1569"/>
    <w:rsid w:val="002D1013"/>
    <w:rsid w:val="002D3F49"/>
    <w:rsid w:val="002D6F66"/>
    <w:rsid w:val="002F5FD0"/>
    <w:rsid w:val="00306845"/>
    <w:rsid w:val="00321756"/>
    <w:rsid w:val="003319E6"/>
    <w:rsid w:val="00331E97"/>
    <w:rsid w:val="003376D6"/>
    <w:rsid w:val="00342A4F"/>
    <w:rsid w:val="0037736A"/>
    <w:rsid w:val="00396C94"/>
    <w:rsid w:val="003A475F"/>
    <w:rsid w:val="003A6829"/>
    <w:rsid w:val="003F3C48"/>
    <w:rsid w:val="00404AFD"/>
    <w:rsid w:val="00410C11"/>
    <w:rsid w:val="004205DE"/>
    <w:rsid w:val="004256B7"/>
    <w:rsid w:val="00427DCB"/>
    <w:rsid w:val="00446BAC"/>
    <w:rsid w:val="00460B11"/>
    <w:rsid w:val="0047305B"/>
    <w:rsid w:val="00486D4A"/>
    <w:rsid w:val="004A5DA1"/>
    <w:rsid w:val="004A5DDB"/>
    <w:rsid w:val="004C2878"/>
    <w:rsid w:val="00521061"/>
    <w:rsid w:val="00573449"/>
    <w:rsid w:val="005B09B2"/>
    <w:rsid w:val="005B5595"/>
    <w:rsid w:val="005E3495"/>
    <w:rsid w:val="005F1915"/>
    <w:rsid w:val="00642173"/>
    <w:rsid w:val="006766AB"/>
    <w:rsid w:val="006814A5"/>
    <w:rsid w:val="0068354F"/>
    <w:rsid w:val="00695C28"/>
    <w:rsid w:val="0069728B"/>
    <w:rsid w:val="006A2E0A"/>
    <w:rsid w:val="006A2F57"/>
    <w:rsid w:val="006A4A7F"/>
    <w:rsid w:val="006A5882"/>
    <w:rsid w:val="006D1C63"/>
    <w:rsid w:val="007406B6"/>
    <w:rsid w:val="007436B8"/>
    <w:rsid w:val="00756195"/>
    <w:rsid w:val="007734F6"/>
    <w:rsid w:val="00783A27"/>
    <w:rsid w:val="00787C60"/>
    <w:rsid w:val="007928AD"/>
    <w:rsid w:val="007B32DC"/>
    <w:rsid w:val="007D59B9"/>
    <w:rsid w:val="007E43FF"/>
    <w:rsid w:val="007F2923"/>
    <w:rsid w:val="0080244C"/>
    <w:rsid w:val="008700D3"/>
    <w:rsid w:val="00894CFB"/>
    <w:rsid w:val="008A1321"/>
    <w:rsid w:val="008A1E38"/>
    <w:rsid w:val="008B2E26"/>
    <w:rsid w:val="008B710A"/>
    <w:rsid w:val="008C171B"/>
    <w:rsid w:val="008C32FE"/>
    <w:rsid w:val="008C43E9"/>
    <w:rsid w:val="008F5BF5"/>
    <w:rsid w:val="0093180B"/>
    <w:rsid w:val="00935C7D"/>
    <w:rsid w:val="00995335"/>
    <w:rsid w:val="009A1A61"/>
    <w:rsid w:val="009B41FF"/>
    <w:rsid w:val="009B79FB"/>
    <w:rsid w:val="009C79BB"/>
    <w:rsid w:val="00A60B4C"/>
    <w:rsid w:val="00A71396"/>
    <w:rsid w:val="00A76E84"/>
    <w:rsid w:val="00A85AA9"/>
    <w:rsid w:val="00AA55AD"/>
    <w:rsid w:val="00AC3189"/>
    <w:rsid w:val="00AC61FF"/>
    <w:rsid w:val="00AD2DCC"/>
    <w:rsid w:val="00AE389E"/>
    <w:rsid w:val="00AF6AEB"/>
    <w:rsid w:val="00B05C3A"/>
    <w:rsid w:val="00B104FE"/>
    <w:rsid w:val="00B17A3F"/>
    <w:rsid w:val="00B32231"/>
    <w:rsid w:val="00B459DE"/>
    <w:rsid w:val="00B47A96"/>
    <w:rsid w:val="00B722E0"/>
    <w:rsid w:val="00B765EE"/>
    <w:rsid w:val="00B95392"/>
    <w:rsid w:val="00BD37DF"/>
    <w:rsid w:val="00BD7924"/>
    <w:rsid w:val="00C05893"/>
    <w:rsid w:val="00C13BF1"/>
    <w:rsid w:val="00C25DDD"/>
    <w:rsid w:val="00C31700"/>
    <w:rsid w:val="00C63E2D"/>
    <w:rsid w:val="00C92219"/>
    <w:rsid w:val="00CF35FB"/>
    <w:rsid w:val="00CF62C7"/>
    <w:rsid w:val="00D04098"/>
    <w:rsid w:val="00D13746"/>
    <w:rsid w:val="00D63794"/>
    <w:rsid w:val="00D84D8E"/>
    <w:rsid w:val="00DA43FD"/>
    <w:rsid w:val="00DC50A6"/>
    <w:rsid w:val="00DD77F0"/>
    <w:rsid w:val="00DE2A30"/>
    <w:rsid w:val="00DE77C3"/>
    <w:rsid w:val="00E51E8B"/>
    <w:rsid w:val="00EA0049"/>
    <w:rsid w:val="00EC2BD3"/>
    <w:rsid w:val="00EF3AC8"/>
    <w:rsid w:val="00EF40E0"/>
    <w:rsid w:val="00F23E80"/>
    <w:rsid w:val="00F24DDD"/>
    <w:rsid w:val="00F3132F"/>
    <w:rsid w:val="00F3286C"/>
    <w:rsid w:val="00F642CD"/>
    <w:rsid w:val="00F66E22"/>
    <w:rsid w:val="00F67E87"/>
    <w:rsid w:val="00F73218"/>
    <w:rsid w:val="00F830DB"/>
    <w:rsid w:val="00FB2F9D"/>
    <w:rsid w:val="00FD05EF"/>
    <w:rsid w:val="00FE0952"/>
    <w:rsid w:val="00FE2260"/>
    <w:rsid w:val="00FE7784"/>
    <w:rsid w:val="0A31466E"/>
    <w:rsid w:val="12294476"/>
    <w:rsid w:val="1E7446DA"/>
    <w:rsid w:val="38740017"/>
    <w:rsid w:val="49BC54C3"/>
    <w:rsid w:val="4BAF5921"/>
    <w:rsid w:val="4BDF1120"/>
    <w:rsid w:val="548C2AFB"/>
    <w:rsid w:val="5F087E97"/>
    <w:rsid w:val="66CA7019"/>
    <w:rsid w:val="77503EB2"/>
    <w:rsid w:val="7B3B66C0"/>
    <w:rsid w:val="7BC3665C"/>
    <w:rsid w:val="7BFA5D7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仿宋" w:cs="Times New Roman"/>
      <w:kern w:val="2"/>
      <w:sz w:val="28"/>
      <w:szCs w:val="24"/>
      <w:lang w:val="en-US" w:eastAsia="zh-CN" w:bidi="ar-SA"/>
    </w:rPr>
  </w:style>
  <w:style w:type="paragraph" w:styleId="3">
    <w:name w:val="heading 1"/>
    <w:basedOn w:val="1"/>
    <w:next w:val="1"/>
    <w:link w:val="22"/>
    <w:qFormat/>
    <w:uiPriority w:val="0"/>
    <w:pPr>
      <w:keepNext/>
      <w:keepLines/>
      <w:spacing w:before="340" w:after="330" w:line="578" w:lineRule="auto"/>
      <w:ind w:firstLine="0" w:firstLineChars="0"/>
      <w:outlineLvl w:val="0"/>
    </w:pPr>
    <w:rPr>
      <w:rFonts w:asciiTheme="minorHAnsi" w:hAnsiTheme="minorHAnsi" w:eastAsiaTheme="minorEastAsia" w:cstheme="minorBidi"/>
      <w:b/>
      <w:bCs/>
      <w:kern w:val="44"/>
      <w:sz w:val="44"/>
      <w:szCs w:val="44"/>
    </w:rPr>
  </w:style>
  <w:style w:type="paragraph" w:styleId="4">
    <w:name w:val="heading 2"/>
    <w:basedOn w:val="1"/>
    <w:next w:val="1"/>
    <w:link w:val="16"/>
    <w:unhideWhenUsed/>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link w:val="23"/>
    <w:semiHidden/>
    <w:unhideWhenUsed/>
    <w:qFormat/>
    <w:uiPriority w:val="9"/>
    <w:pPr>
      <w:keepNext/>
      <w:keepLines/>
      <w:spacing w:before="260" w:after="260" w:line="416" w:lineRule="auto"/>
      <w:outlineLvl w:val="2"/>
    </w:pPr>
    <w:rPr>
      <w:b/>
      <w:bCs/>
      <w:sz w:val="32"/>
      <w:szCs w:val="32"/>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unhideWhenUsed/>
    <w:qFormat/>
    <w:uiPriority w:val="0"/>
    <w:pPr>
      <w:ind w:firstLine="420"/>
    </w:pPr>
  </w:style>
  <w:style w:type="paragraph" w:styleId="6">
    <w:name w:val="toc 3"/>
    <w:basedOn w:val="1"/>
    <w:next w:val="1"/>
    <w:autoRedefine/>
    <w:unhideWhenUsed/>
    <w:qFormat/>
    <w:uiPriority w:val="39"/>
    <w:pPr>
      <w:ind w:left="840" w:leftChars="400"/>
    </w:pPr>
  </w:style>
  <w:style w:type="paragraph" w:styleId="7">
    <w:name w:val="footer"/>
    <w:basedOn w:val="1"/>
    <w:link w:val="28"/>
    <w:unhideWhenUsed/>
    <w:qFormat/>
    <w:uiPriority w:val="99"/>
    <w:pPr>
      <w:tabs>
        <w:tab w:val="center" w:pos="4153"/>
        <w:tab w:val="right" w:pos="8306"/>
      </w:tabs>
      <w:snapToGrid w:val="0"/>
      <w:spacing w:line="240" w:lineRule="auto"/>
      <w:jc w:val="left"/>
    </w:pPr>
    <w:rPr>
      <w:sz w:val="18"/>
      <w:szCs w:val="18"/>
    </w:rPr>
  </w:style>
  <w:style w:type="paragraph" w:styleId="8">
    <w:name w:val="header"/>
    <w:basedOn w:val="1"/>
    <w:link w:val="27"/>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9">
    <w:name w:val="toc 1"/>
    <w:basedOn w:val="1"/>
    <w:next w:val="1"/>
    <w:autoRedefine/>
    <w:unhideWhenUsed/>
    <w:qFormat/>
    <w:uiPriority w:val="39"/>
    <w:pPr>
      <w:tabs>
        <w:tab w:val="right" w:leader="dot" w:pos="9060"/>
      </w:tabs>
      <w:ind w:firstLine="0" w:firstLineChars="0"/>
    </w:pPr>
  </w:style>
  <w:style w:type="paragraph" w:styleId="10">
    <w:name w:val="toc 2"/>
    <w:basedOn w:val="1"/>
    <w:next w:val="1"/>
    <w:autoRedefine/>
    <w:unhideWhenUsed/>
    <w:qFormat/>
    <w:uiPriority w:val="39"/>
    <w:pPr>
      <w:tabs>
        <w:tab w:val="right" w:leader="dot" w:pos="9060"/>
      </w:tabs>
      <w:ind w:left="560" w:leftChars="200" w:firstLine="6" w:firstLineChars="2"/>
    </w:pPr>
  </w:style>
  <w:style w:type="paragraph" w:styleId="11">
    <w:name w:val="Normal (Web)"/>
    <w:basedOn w:val="1"/>
    <w:semiHidden/>
    <w:unhideWhenUsed/>
    <w:qFormat/>
    <w:uiPriority w:val="99"/>
    <w:rPr>
      <w:sz w:val="24"/>
    </w:rPr>
  </w:style>
  <w:style w:type="table" w:styleId="13">
    <w:name w:val="Table Grid"/>
    <w:basedOn w:val="1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basedOn w:val="14"/>
    <w:unhideWhenUsed/>
    <w:qFormat/>
    <w:uiPriority w:val="99"/>
    <w:rPr>
      <w:color w:val="0563C1" w:themeColor="hyperlink"/>
      <w:u w:val="single"/>
      <w14:textFill>
        <w14:solidFill>
          <w14:schemeClr w14:val="hlink"/>
        </w14:solidFill>
      </w14:textFill>
    </w:rPr>
  </w:style>
  <w:style w:type="character" w:customStyle="1" w:styleId="16">
    <w:name w:val="标题 2 字符"/>
    <w:basedOn w:val="14"/>
    <w:link w:val="4"/>
    <w:qFormat/>
    <w:uiPriority w:val="0"/>
    <w:rPr>
      <w:rFonts w:ascii="Arial" w:hAnsi="Arial" w:eastAsia="黑体" w:cs="Times New Roman"/>
      <w:b/>
      <w:sz w:val="32"/>
      <w:szCs w:val="24"/>
    </w:rPr>
  </w:style>
  <w:style w:type="paragraph" w:customStyle="1" w:styleId="17">
    <w:name w:val="四号 正文"/>
    <w:basedOn w:val="1"/>
    <w:qFormat/>
    <w:uiPriority w:val="0"/>
    <w:pPr>
      <w:spacing w:line="560" w:lineRule="exact"/>
    </w:pPr>
    <w:rPr>
      <w:rFonts w:cs="宋体"/>
      <w:spacing w:val="6"/>
    </w:rPr>
  </w:style>
  <w:style w:type="paragraph" w:customStyle="1" w:styleId="18">
    <w:name w:val="中交理工正文"/>
    <w:basedOn w:val="1"/>
    <w:link w:val="21"/>
    <w:qFormat/>
    <w:uiPriority w:val="0"/>
    <w:pPr>
      <w:spacing w:beforeLines="50"/>
    </w:pPr>
    <w:rPr>
      <w:rFonts w:ascii="华文中宋" w:hAnsi="华文中宋" w:eastAsia="华文中宋"/>
      <w:sz w:val="24"/>
      <w:szCs w:val="21"/>
    </w:rPr>
  </w:style>
  <w:style w:type="paragraph" w:customStyle="1" w:styleId="19">
    <w:name w:val="报告格式-正文"/>
    <w:basedOn w:val="1"/>
    <w:qFormat/>
    <w:uiPriority w:val="0"/>
    <w:rPr>
      <w:szCs w:val="36"/>
    </w:rPr>
  </w:style>
  <w:style w:type="paragraph" w:customStyle="1" w:styleId="20">
    <w:name w:val="四号正文"/>
    <w:basedOn w:val="1"/>
    <w:qFormat/>
    <w:uiPriority w:val="0"/>
    <w:rPr>
      <w:rFonts w:cs="宋体"/>
      <w:spacing w:val="6"/>
    </w:rPr>
  </w:style>
  <w:style w:type="character" w:customStyle="1" w:styleId="21">
    <w:name w:val="中交理工正文 Char"/>
    <w:link w:val="18"/>
    <w:qFormat/>
    <w:uiPriority w:val="0"/>
    <w:rPr>
      <w:rFonts w:ascii="华文中宋" w:hAnsi="华文中宋" w:eastAsia="华文中宋" w:cs="Times New Roman"/>
      <w:sz w:val="24"/>
      <w:szCs w:val="21"/>
    </w:rPr>
  </w:style>
  <w:style w:type="character" w:customStyle="1" w:styleId="22">
    <w:name w:val="标题 1 字符"/>
    <w:basedOn w:val="14"/>
    <w:link w:val="3"/>
    <w:qFormat/>
    <w:uiPriority w:val="9"/>
    <w:rPr>
      <w:b/>
      <w:bCs/>
      <w:kern w:val="44"/>
      <w:sz w:val="44"/>
      <w:szCs w:val="44"/>
    </w:rPr>
  </w:style>
  <w:style w:type="character" w:customStyle="1" w:styleId="23">
    <w:name w:val="标题 3 字符"/>
    <w:basedOn w:val="14"/>
    <w:link w:val="5"/>
    <w:semiHidden/>
    <w:qFormat/>
    <w:uiPriority w:val="9"/>
    <w:rPr>
      <w:rFonts w:ascii="Times New Roman" w:hAnsi="Times New Roman" w:eastAsia="仿宋" w:cs="Times New Roman"/>
      <w:b/>
      <w:bCs/>
      <w:sz w:val="32"/>
      <w:szCs w:val="32"/>
    </w:rPr>
  </w:style>
  <w:style w:type="paragraph" w:styleId="24">
    <w:name w:val="List Paragraph"/>
    <w:basedOn w:val="1"/>
    <w:qFormat/>
    <w:uiPriority w:val="34"/>
    <w:pPr>
      <w:ind w:firstLine="420"/>
    </w:pPr>
  </w:style>
  <w:style w:type="paragraph" w:customStyle="1" w:styleId="25">
    <w:name w:val="TOC Heading"/>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26">
    <w:name w:val="文本正文"/>
    <w:basedOn w:val="1"/>
    <w:qFormat/>
    <w:uiPriority w:val="0"/>
    <w:pPr>
      <w:ind w:firstLine="482" w:firstLineChars="0"/>
      <w:jc w:val="left"/>
    </w:pPr>
    <w:rPr>
      <w:rFonts w:eastAsia="宋体"/>
      <w:kern w:val="0"/>
      <w:sz w:val="24"/>
      <w:szCs w:val="20"/>
    </w:rPr>
  </w:style>
  <w:style w:type="character" w:customStyle="1" w:styleId="27">
    <w:name w:val="页眉 字符"/>
    <w:basedOn w:val="14"/>
    <w:link w:val="8"/>
    <w:qFormat/>
    <w:uiPriority w:val="99"/>
    <w:rPr>
      <w:rFonts w:ascii="Times New Roman" w:hAnsi="Times New Roman" w:eastAsia="仿宋" w:cs="Times New Roman"/>
      <w:sz w:val="18"/>
      <w:szCs w:val="18"/>
    </w:rPr>
  </w:style>
  <w:style w:type="character" w:customStyle="1" w:styleId="28">
    <w:name w:val="页脚 字符"/>
    <w:basedOn w:val="14"/>
    <w:link w:val="7"/>
    <w:qFormat/>
    <w:uiPriority w:val="99"/>
    <w:rPr>
      <w:rFonts w:ascii="Times New Roman" w:hAnsi="Times New Roman" w:eastAsia="仿宋"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1.xml"/><Relationship Id="rId31" Type="http://schemas.openxmlformats.org/officeDocument/2006/relationships/numbering" Target="numbering.xml"/><Relationship Id="rId30" Type="http://schemas.openxmlformats.org/officeDocument/2006/relationships/image" Target="media/image18.tiff"/><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emf"/><Relationship Id="rId16" Type="http://schemas.openxmlformats.org/officeDocument/2006/relationships/image" Target="media/image4.emf"/><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1E7CD1-E7BB-44AB-A7CE-31D69C98C64F}">
  <ds:schemaRefs/>
</ds:datastoreItem>
</file>

<file path=docProps/app.xml><?xml version="1.0" encoding="utf-8"?>
<Properties xmlns="http://schemas.openxmlformats.org/officeDocument/2006/extended-properties" xmlns:vt="http://schemas.openxmlformats.org/officeDocument/2006/docPropsVTypes">
  <Template>Normal.dotm</Template>
  <Pages>47</Pages>
  <Words>5936</Words>
  <Characters>6097</Characters>
  <Lines>1436</Lines>
  <Paragraphs>1177</Paragraphs>
  <TotalTime>17</TotalTime>
  <ScaleCrop>false</ScaleCrop>
  <LinksUpToDate>false</LinksUpToDate>
  <CharactersWithSpaces>6181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2021-05-14T13:36:00Z</dcterms:created>
  <dc:creator>丁 嘉琦</dc:creator>
  <cp:lastModifiedBy>vicki</cp:lastModifiedBy>
  <dcterms:modified xsi:type="dcterms:W3CDTF">2025-11-11T01:59:02Z</dcterms:modified>
  <cp:revision>87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eyJoZGlkIjoiMThiNWM1MDVhYTU0Y2MwZDkzMGU1NTFhYThkMGVmZjgiLCJ1c2VySWQiOiIyNjYxNzE3NjkifQ==</vt:lpwstr>
  </property>
  <property fmtid="{D5CDD505-2E9C-101B-9397-08002B2CF9AE}" pid="3" name="KSOProductBuildVer">
    <vt:lpwstr>2052-12.1.0.23542</vt:lpwstr>
  </property>
  <property fmtid="{D5CDD505-2E9C-101B-9397-08002B2CF9AE}" pid="4" name="ICV">
    <vt:lpwstr>E128351A7CA9475087856F22D92E3CC4_13</vt:lpwstr>
  </property>
</Properties>
</file>