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19946">
      <w:pPr>
        <w:pStyle w:val="7"/>
        <w:spacing w:before="3"/>
        <w:rPr>
          <w:rFonts w:ascii="Times New Roman"/>
          <w:color w:val="000000" w:themeColor="text1"/>
          <w:sz w:val="29"/>
        </w:rPr>
      </w:pPr>
    </w:p>
    <w:p w14:paraId="26742344">
      <w:pPr>
        <w:pStyle w:val="7"/>
        <w:spacing w:before="3"/>
        <w:rPr>
          <w:rFonts w:ascii="Times New Roman"/>
          <w:color w:val="000000" w:themeColor="text1"/>
          <w:sz w:val="29"/>
        </w:rPr>
      </w:pPr>
    </w:p>
    <w:p w14:paraId="54F9A9AC">
      <w:pPr>
        <w:pStyle w:val="7"/>
        <w:spacing w:before="3"/>
        <w:rPr>
          <w:rFonts w:ascii="Times New Roman"/>
          <w:color w:val="000000" w:themeColor="text1"/>
          <w:sz w:val="29"/>
        </w:rPr>
      </w:pPr>
    </w:p>
    <w:p w14:paraId="7173AF53">
      <w:pPr>
        <w:pStyle w:val="7"/>
        <w:spacing w:before="3"/>
        <w:rPr>
          <w:rFonts w:ascii="Times New Roman"/>
          <w:color w:val="000000" w:themeColor="text1"/>
          <w:sz w:val="29"/>
        </w:rPr>
      </w:pPr>
    </w:p>
    <w:p w14:paraId="615235C3">
      <w:pPr>
        <w:pStyle w:val="7"/>
        <w:spacing w:before="3"/>
        <w:rPr>
          <w:rFonts w:ascii="Times New Roman"/>
          <w:color w:val="000000" w:themeColor="text1"/>
          <w:sz w:val="29"/>
        </w:rPr>
      </w:pPr>
    </w:p>
    <w:p w14:paraId="66980944">
      <w:pPr>
        <w:pStyle w:val="7"/>
        <w:spacing w:before="3"/>
        <w:rPr>
          <w:rFonts w:ascii="Times New Roman"/>
          <w:color w:val="000000" w:themeColor="text1"/>
          <w:sz w:val="29"/>
        </w:rPr>
      </w:pPr>
    </w:p>
    <w:p w14:paraId="3D64100A">
      <w:pPr>
        <w:pStyle w:val="7"/>
        <w:spacing w:before="3"/>
        <w:rPr>
          <w:rFonts w:ascii="Times New Roman"/>
          <w:color w:val="000000" w:themeColor="text1"/>
          <w:sz w:val="29"/>
        </w:rPr>
      </w:pPr>
    </w:p>
    <w:p w14:paraId="31270148">
      <w:pPr>
        <w:pStyle w:val="7"/>
        <w:spacing w:before="3"/>
        <w:rPr>
          <w:rFonts w:ascii="Times New Roman"/>
          <w:color w:val="000000" w:themeColor="text1"/>
          <w:sz w:val="29"/>
        </w:rPr>
      </w:pPr>
    </w:p>
    <w:p w14:paraId="000BC673">
      <w:pPr>
        <w:pStyle w:val="15"/>
        <w:rPr>
          <w:rFonts w:ascii="黑体" w:hAnsi="黑体" w:eastAsia="黑体"/>
          <w:color w:val="000000" w:themeColor="text1"/>
          <w:w w:val="95"/>
          <w:sz w:val="72"/>
          <w:szCs w:val="72"/>
          <w:lang w:val="en-US"/>
        </w:rPr>
      </w:pPr>
      <w:r>
        <w:rPr>
          <w:rFonts w:hint="eastAsia" w:ascii="黑体" w:hAnsi="黑体" w:eastAsia="黑体"/>
          <w:color w:val="000000" w:themeColor="text1"/>
          <w:w w:val="95"/>
          <w:sz w:val="72"/>
          <w:szCs w:val="72"/>
        </w:rPr>
        <w:t>大连庄河市</w:t>
      </w:r>
      <w:r>
        <w:rPr>
          <w:rFonts w:hint="eastAsia" w:ascii="黑体" w:hAnsi="黑体" w:eastAsia="黑体"/>
          <w:color w:val="000000" w:themeColor="text1"/>
          <w:w w:val="95"/>
          <w:sz w:val="72"/>
          <w:szCs w:val="72"/>
          <w:lang w:val="en-US"/>
        </w:rPr>
        <w:t>荷花山镇郭家村</w:t>
      </w:r>
    </w:p>
    <w:p w14:paraId="1BD84F66">
      <w:pPr>
        <w:pStyle w:val="15"/>
        <w:rPr>
          <w:rFonts w:ascii="黑体" w:hAnsi="黑体" w:eastAsia="黑体"/>
          <w:color w:val="000000" w:themeColor="text1"/>
          <w:sz w:val="72"/>
          <w:szCs w:val="72"/>
        </w:rPr>
      </w:pPr>
      <w:r>
        <w:rPr>
          <w:rFonts w:hint="eastAsia" w:ascii="黑体" w:hAnsi="黑体" w:eastAsia="黑体"/>
          <w:color w:val="000000" w:themeColor="text1"/>
          <w:w w:val="95"/>
          <w:sz w:val="72"/>
          <w:szCs w:val="72"/>
        </w:rPr>
        <w:t>村庄规划</w:t>
      </w:r>
      <w:r>
        <w:rPr>
          <w:rFonts w:hint="eastAsia" w:ascii="黑体" w:hAnsi="黑体" w:eastAsia="黑体"/>
          <w:color w:val="000000" w:themeColor="text1"/>
          <w:spacing w:val="3"/>
          <w:w w:val="95"/>
          <w:sz w:val="72"/>
          <w:szCs w:val="72"/>
        </w:rPr>
        <w:t>（202</w:t>
      </w:r>
      <w:r>
        <w:rPr>
          <w:rFonts w:ascii="黑体" w:hAnsi="黑体" w:eastAsia="黑体"/>
          <w:color w:val="000000" w:themeColor="text1"/>
          <w:spacing w:val="3"/>
          <w:w w:val="95"/>
          <w:sz w:val="72"/>
          <w:szCs w:val="72"/>
        </w:rPr>
        <w:t>1</w:t>
      </w:r>
      <w:r>
        <w:rPr>
          <w:rFonts w:hint="eastAsia" w:ascii="黑体" w:hAnsi="黑体" w:eastAsia="黑体"/>
          <w:color w:val="000000" w:themeColor="text1"/>
          <w:spacing w:val="3"/>
          <w:w w:val="95"/>
          <w:sz w:val="72"/>
          <w:szCs w:val="72"/>
        </w:rPr>
        <w:t>—2035</w:t>
      </w:r>
      <w:r>
        <w:rPr>
          <w:rFonts w:hint="eastAsia" w:ascii="黑体" w:hAnsi="黑体" w:eastAsia="黑体"/>
          <w:color w:val="000000" w:themeColor="text1"/>
          <w:spacing w:val="-90"/>
          <w:w w:val="95"/>
          <w:sz w:val="72"/>
          <w:szCs w:val="72"/>
        </w:rPr>
        <w:t xml:space="preserve"> 年</w:t>
      </w:r>
      <w:r>
        <w:rPr>
          <w:rFonts w:hint="eastAsia" w:ascii="黑体" w:hAnsi="黑体" w:eastAsia="黑体"/>
          <w:color w:val="000000" w:themeColor="text1"/>
          <w:w w:val="95"/>
          <w:sz w:val="72"/>
          <w:szCs w:val="72"/>
        </w:rPr>
        <w:t>）</w:t>
      </w:r>
    </w:p>
    <w:p w14:paraId="3EC9693F">
      <w:pPr>
        <w:jc w:val="center"/>
        <w:rPr>
          <w:b/>
          <w:bCs/>
          <w:color w:val="000000" w:themeColor="text1"/>
          <w:sz w:val="36"/>
          <w:szCs w:val="36"/>
        </w:rPr>
      </w:pPr>
    </w:p>
    <w:p w14:paraId="1A52E802">
      <w:pPr>
        <w:pStyle w:val="13"/>
        <w:rPr>
          <w:color w:val="000000" w:themeColor="text1"/>
          <w:sz w:val="48"/>
          <w:szCs w:val="48"/>
          <w:lang w:val="en-US"/>
        </w:rPr>
      </w:pPr>
      <w:r>
        <w:rPr>
          <w:rFonts w:hint="eastAsia"/>
          <w:color w:val="000000" w:themeColor="text1"/>
          <w:sz w:val="48"/>
          <w:szCs w:val="48"/>
          <w:lang w:val="en-US"/>
        </w:rPr>
        <w:t>草 案 公 示</w:t>
      </w:r>
    </w:p>
    <w:p w14:paraId="7213505A">
      <w:pPr>
        <w:kinsoku w:val="0"/>
        <w:overflowPunct w:val="0"/>
        <w:adjustRightInd w:val="0"/>
        <w:spacing w:line="350" w:lineRule="auto"/>
        <w:ind w:left="112" w:right="106" w:firstLine="598"/>
        <w:rPr>
          <w:rFonts w:hAnsi="Times New Roman"/>
          <w:color w:val="000000" w:themeColor="text1"/>
          <w:sz w:val="30"/>
          <w:szCs w:val="30"/>
          <w:lang w:val="en-US" w:bidi="ar-SA"/>
        </w:rPr>
      </w:pPr>
    </w:p>
    <w:p w14:paraId="2D1A62F0">
      <w:pPr>
        <w:kinsoku w:val="0"/>
        <w:overflowPunct w:val="0"/>
        <w:adjustRightInd w:val="0"/>
        <w:spacing w:line="350" w:lineRule="auto"/>
        <w:ind w:left="112" w:right="106" w:firstLine="598"/>
        <w:rPr>
          <w:rFonts w:hAnsi="Times New Roman"/>
          <w:color w:val="000000" w:themeColor="text1"/>
          <w:sz w:val="30"/>
          <w:szCs w:val="30"/>
          <w:lang w:val="en-US" w:bidi="ar-SA"/>
        </w:rPr>
      </w:pPr>
    </w:p>
    <w:p w14:paraId="420807F1">
      <w:pPr>
        <w:kinsoku w:val="0"/>
        <w:overflowPunct w:val="0"/>
        <w:adjustRightInd w:val="0"/>
        <w:spacing w:line="350" w:lineRule="auto"/>
        <w:ind w:left="112" w:right="106" w:firstLine="598"/>
        <w:rPr>
          <w:rFonts w:hAnsi="Times New Roman"/>
          <w:color w:val="000000" w:themeColor="text1"/>
          <w:sz w:val="30"/>
          <w:szCs w:val="30"/>
          <w:lang w:val="en-US" w:bidi="ar-SA"/>
        </w:rPr>
      </w:pPr>
    </w:p>
    <w:p w14:paraId="4907AAD2">
      <w:pPr>
        <w:kinsoku w:val="0"/>
        <w:overflowPunct w:val="0"/>
        <w:adjustRightInd w:val="0"/>
        <w:spacing w:line="350" w:lineRule="auto"/>
        <w:ind w:left="112" w:right="106" w:firstLine="598"/>
        <w:rPr>
          <w:rFonts w:hAnsi="Times New Roman"/>
          <w:color w:val="000000" w:themeColor="text1"/>
          <w:sz w:val="30"/>
          <w:szCs w:val="30"/>
          <w:lang w:val="en-US" w:bidi="ar-SA"/>
        </w:rPr>
      </w:pPr>
    </w:p>
    <w:p w14:paraId="2A4AD720">
      <w:pPr>
        <w:kinsoku w:val="0"/>
        <w:overflowPunct w:val="0"/>
        <w:adjustRightInd w:val="0"/>
        <w:spacing w:line="350" w:lineRule="auto"/>
        <w:ind w:left="112" w:right="106" w:firstLine="598"/>
        <w:rPr>
          <w:rFonts w:hAnsi="Times New Roman"/>
          <w:color w:val="000000" w:themeColor="text1"/>
          <w:sz w:val="30"/>
          <w:szCs w:val="30"/>
          <w:lang w:val="en-US" w:bidi="ar-SA"/>
        </w:rPr>
      </w:pPr>
    </w:p>
    <w:p w14:paraId="00B60622">
      <w:pPr>
        <w:kinsoku w:val="0"/>
        <w:overflowPunct w:val="0"/>
        <w:adjustRightInd w:val="0"/>
        <w:spacing w:line="350" w:lineRule="auto"/>
        <w:ind w:left="112" w:right="106" w:firstLine="598"/>
        <w:rPr>
          <w:rFonts w:hAnsi="Times New Roman"/>
          <w:color w:val="000000" w:themeColor="text1"/>
          <w:sz w:val="30"/>
          <w:szCs w:val="30"/>
          <w:lang w:val="en-US" w:bidi="ar-SA"/>
        </w:rPr>
      </w:pPr>
    </w:p>
    <w:p w14:paraId="777E61AB">
      <w:pPr>
        <w:kinsoku w:val="0"/>
        <w:overflowPunct w:val="0"/>
        <w:adjustRightInd w:val="0"/>
        <w:spacing w:line="350" w:lineRule="auto"/>
        <w:ind w:left="112" w:right="106" w:firstLine="598"/>
        <w:rPr>
          <w:rFonts w:hAnsi="Times New Roman"/>
          <w:color w:val="000000" w:themeColor="text1"/>
          <w:sz w:val="30"/>
          <w:szCs w:val="30"/>
          <w:lang w:val="en-US" w:bidi="ar-SA"/>
        </w:rPr>
      </w:pPr>
    </w:p>
    <w:p w14:paraId="349186C1">
      <w:pPr>
        <w:kinsoku w:val="0"/>
        <w:overflowPunct w:val="0"/>
        <w:adjustRightInd w:val="0"/>
        <w:spacing w:line="350" w:lineRule="auto"/>
        <w:ind w:left="112" w:right="106" w:firstLine="598"/>
        <w:rPr>
          <w:rFonts w:hAnsi="Times New Roman"/>
          <w:color w:val="000000" w:themeColor="text1"/>
          <w:sz w:val="30"/>
          <w:szCs w:val="30"/>
          <w:lang w:val="en-US" w:bidi="ar-SA"/>
        </w:rPr>
      </w:pPr>
    </w:p>
    <w:p w14:paraId="7CF09E13">
      <w:pPr>
        <w:kinsoku w:val="0"/>
        <w:overflowPunct w:val="0"/>
        <w:adjustRightInd w:val="0"/>
        <w:spacing w:line="350" w:lineRule="auto"/>
        <w:ind w:left="112" w:right="106" w:firstLine="598"/>
        <w:rPr>
          <w:rFonts w:hAnsi="Times New Roman"/>
          <w:color w:val="000000" w:themeColor="text1"/>
          <w:sz w:val="30"/>
          <w:szCs w:val="30"/>
          <w:lang w:val="en-US" w:bidi="ar-SA"/>
        </w:rPr>
      </w:pPr>
    </w:p>
    <w:p w14:paraId="64528A48">
      <w:pPr>
        <w:kinsoku w:val="0"/>
        <w:overflowPunct w:val="0"/>
        <w:adjustRightInd w:val="0"/>
        <w:spacing w:line="350" w:lineRule="auto"/>
        <w:ind w:left="112" w:right="106" w:firstLine="598"/>
        <w:rPr>
          <w:rFonts w:hAnsi="Times New Roman"/>
          <w:color w:val="000000" w:themeColor="text1"/>
          <w:sz w:val="30"/>
          <w:szCs w:val="30"/>
          <w:lang w:val="en-US" w:bidi="ar-SA"/>
        </w:rPr>
      </w:pPr>
    </w:p>
    <w:p w14:paraId="7F4DFE4D">
      <w:pPr>
        <w:kinsoku w:val="0"/>
        <w:overflowPunct w:val="0"/>
        <w:adjustRightInd w:val="0"/>
        <w:spacing w:line="350" w:lineRule="auto"/>
        <w:ind w:left="112" w:right="106" w:firstLine="598"/>
        <w:jc w:val="center"/>
        <w:rPr>
          <w:rFonts w:hint="eastAsia" w:hAnsi="Times New Roman"/>
          <w:color w:val="000000" w:themeColor="text1"/>
          <w:sz w:val="24"/>
          <w:szCs w:val="24"/>
          <w:lang w:val="en-US" w:bidi="ar-SA"/>
        </w:rPr>
      </w:pPr>
      <w:r>
        <w:rPr>
          <w:rFonts w:hAnsi="Times New Roman"/>
          <w:color w:val="000000" w:themeColor="text1"/>
          <w:sz w:val="24"/>
          <w:szCs w:val="24"/>
          <w:lang w:val="en-US" w:bidi="ar-SA"/>
        </w:rPr>
        <w:t>庄河市</w:t>
      </w:r>
      <w:r>
        <w:rPr>
          <w:rFonts w:hint="eastAsia" w:hAnsi="Times New Roman"/>
          <w:color w:val="000000" w:themeColor="text1"/>
          <w:sz w:val="24"/>
          <w:szCs w:val="24"/>
          <w:lang w:val="en-US" w:bidi="ar-SA"/>
        </w:rPr>
        <w:t>荷花山镇</w:t>
      </w:r>
      <w:r>
        <w:rPr>
          <w:rFonts w:hAnsi="Times New Roman"/>
          <w:color w:val="000000" w:themeColor="text1"/>
          <w:sz w:val="24"/>
          <w:szCs w:val="24"/>
          <w:lang w:val="en-US" w:bidi="ar-SA"/>
        </w:rPr>
        <w:t>人民政府</w:t>
      </w:r>
    </w:p>
    <w:p w14:paraId="28CA3BB7">
      <w:pPr>
        <w:kinsoku w:val="0"/>
        <w:overflowPunct w:val="0"/>
        <w:adjustRightInd w:val="0"/>
        <w:spacing w:line="350" w:lineRule="auto"/>
        <w:ind w:left="112" w:right="106" w:firstLine="598"/>
        <w:jc w:val="center"/>
        <w:rPr>
          <w:rFonts w:hAnsi="Times New Roman"/>
          <w:color w:val="000000" w:themeColor="text1"/>
          <w:sz w:val="24"/>
          <w:szCs w:val="24"/>
          <w:lang w:val="en-US" w:bidi="ar-SA"/>
        </w:rPr>
      </w:pPr>
      <w:r>
        <w:rPr>
          <w:rFonts w:hint="eastAsia" w:hAnsi="Times New Roman"/>
          <w:color w:val="000000" w:themeColor="text1"/>
          <w:sz w:val="24"/>
          <w:szCs w:val="24"/>
          <w:lang w:val="en-US" w:bidi="ar-SA"/>
        </w:rPr>
        <w:t>中北规划设计（大连）有限公司</w:t>
      </w:r>
    </w:p>
    <w:p w14:paraId="328CA83C">
      <w:pPr>
        <w:kinsoku w:val="0"/>
        <w:overflowPunct w:val="0"/>
        <w:adjustRightInd w:val="0"/>
        <w:spacing w:line="350" w:lineRule="auto"/>
        <w:ind w:left="112" w:right="106" w:firstLine="598"/>
        <w:rPr>
          <w:color w:val="000000" w:themeColor="text1"/>
        </w:rPr>
      </w:pPr>
    </w:p>
    <w:p w14:paraId="3AD41663">
      <w:pPr>
        <w:rPr>
          <w:color w:val="000000" w:themeColor="text1"/>
        </w:rPr>
      </w:pPr>
      <w:r>
        <w:rPr>
          <w:color w:val="000000" w:themeColor="text1"/>
        </w:rPr>
        <w:br w:type="page"/>
      </w:r>
    </w:p>
    <w:p w14:paraId="6532C787">
      <w:pPr>
        <w:kinsoku w:val="0"/>
        <w:overflowPunct w:val="0"/>
        <w:adjustRightInd w:val="0"/>
        <w:spacing w:line="350" w:lineRule="auto"/>
        <w:ind w:right="106"/>
        <w:rPr>
          <w:color w:val="000000" w:themeColor="text1"/>
        </w:rPr>
        <w:sectPr>
          <w:headerReference r:id="rId5" w:type="first"/>
          <w:headerReference r:id="rId3" w:type="default"/>
          <w:footerReference r:id="rId6" w:type="default"/>
          <w:headerReference r:id="rId4" w:type="even"/>
          <w:footerReference r:id="rId7" w:type="even"/>
          <w:pgSz w:w="11906" w:h="16838"/>
          <w:pgMar w:top="1418" w:right="1134" w:bottom="1418" w:left="1134" w:header="720" w:footer="727" w:gutter="0"/>
          <w:cols w:space="720" w:num="1"/>
          <w:titlePg/>
          <w:docGrid w:linePitch="299" w:charSpace="0"/>
        </w:sectPr>
      </w:pPr>
    </w:p>
    <w:p w14:paraId="59A922FB">
      <w:pPr>
        <w:pStyle w:val="2"/>
        <w:keepNext/>
        <w:keepLines/>
        <w:pageBreakBefore/>
        <w:widowControl w:val="0"/>
        <w:kinsoku/>
        <w:wordWrap/>
        <w:overflowPunct/>
        <w:topLinePunct w:val="0"/>
        <w:autoSpaceDE/>
        <w:autoSpaceDN/>
        <w:bidi w:val="0"/>
        <w:adjustRightInd w:val="0"/>
        <w:snapToGrid w:val="0"/>
        <w:spacing w:line="360" w:lineRule="auto"/>
        <w:textAlignment w:val="auto"/>
        <w:rPr>
          <w:rFonts w:ascii="黑体" w:hAnsi="黑体" w:eastAsia="黑体" w:cstheme="minorBidi"/>
          <w:color w:val="000000" w:themeColor="text1"/>
          <w:kern w:val="44"/>
          <w:sz w:val="36"/>
          <w:lang w:val="en-US" w:bidi="ar-SA"/>
        </w:rPr>
      </w:pPr>
      <w:r>
        <w:rPr>
          <w:rFonts w:hint="eastAsia" w:ascii="黑体" w:hAnsi="黑体" w:eastAsia="黑体" w:cstheme="minorBidi"/>
          <w:b w:val="0"/>
          <w:bCs w:val="0"/>
          <w:color w:val="000000" w:themeColor="text1"/>
          <w:kern w:val="44"/>
          <w:sz w:val="36"/>
          <w:lang w:val="en-US" w:bidi="ar-SA"/>
        </w:rPr>
        <w:t>1.规划总则</w:t>
      </w:r>
    </w:p>
    <w:p w14:paraId="6B4947E9">
      <w:pPr>
        <w:pStyle w:val="3"/>
        <w:widowControl w:val="0"/>
        <w:kinsoku/>
        <w:wordWrap/>
        <w:overflowPunct/>
        <w:topLinePunct w:val="0"/>
        <w:bidi w:val="0"/>
        <w:adjustRightInd w:val="0"/>
        <w:snapToGrid w:val="0"/>
        <w:spacing w:line="360" w:lineRule="auto"/>
        <w:ind w:left="0" w:leftChars="0" w:firstLine="0" w:firstLineChars="0"/>
        <w:textAlignment w:val="auto"/>
        <w:rPr>
          <w:rFonts w:ascii="黑体" w:hAnsi="黑体" w:eastAsia="黑体"/>
          <w:b/>
          <w:bCs/>
          <w:color w:val="000000" w:themeColor="text1"/>
          <w:sz w:val="30"/>
          <w:szCs w:val="30"/>
        </w:rPr>
      </w:pPr>
      <w:r>
        <w:rPr>
          <w:rFonts w:hint="eastAsia" w:ascii="黑体" w:hAnsi="黑体" w:eastAsia="黑体"/>
          <w:b w:val="0"/>
          <w:bCs w:val="0"/>
          <w:color w:val="000000" w:themeColor="text1"/>
          <w:sz w:val="30"/>
          <w:szCs w:val="30"/>
        </w:rPr>
        <w:t>1.</w:t>
      </w:r>
      <w:r>
        <w:rPr>
          <w:rFonts w:hint="eastAsia" w:ascii="黑体" w:hAnsi="黑体" w:eastAsia="黑体"/>
          <w:b w:val="0"/>
          <w:bCs w:val="0"/>
          <w:color w:val="000000" w:themeColor="text1"/>
          <w:sz w:val="30"/>
          <w:szCs w:val="30"/>
          <w:lang w:val="en-US"/>
        </w:rPr>
        <w:t>1</w:t>
      </w:r>
      <w:r>
        <w:rPr>
          <w:rFonts w:hint="eastAsia" w:ascii="黑体" w:hAnsi="黑体" w:eastAsia="黑体"/>
          <w:b w:val="0"/>
          <w:bCs w:val="0"/>
          <w:color w:val="000000" w:themeColor="text1"/>
          <w:sz w:val="30"/>
          <w:szCs w:val="30"/>
        </w:rPr>
        <w:t xml:space="preserve"> 规划范围</w:t>
      </w:r>
    </w:p>
    <w:p w14:paraId="0577E159">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本次规划范围为庄河市荷花山镇郭家村全域，包含16个自然屯，总面积为28.03平方公里</w:t>
      </w:r>
      <w:r>
        <w:rPr>
          <w:rFonts w:hint="eastAsia" w:ascii="仿宋_GB2312" w:hAnsi="仿宋_GB2312" w:eastAsia="仿宋_GB2312" w:cs="仿宋_GB2312"/>
          <w:color w:val="000000" w:themeColor="text1"/>
          <w:kern w:val="2"/>
          <w:sz w:val="28"/>
          <w:szCs w:val="28"/>
          <w:lang w:val="en-US" w:bidi="ar-SA"/>
        </w:rPr>
        <w:pict>
          <v:line id="Line 13" o:spid="_x0000_s1026" o:spt="20" style="position:absolute;left:0pt;margin-left:634pt;margin-top:18.7pt;height:0pt;width:482.9pt;mso-position-horizontal-relative:page;z-index:-251654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">
            <v:path arrowok="t"/>
            <v:fill focussize="0,0"/>
            <v:stroke weight="0.72pt"/>
            <v:imagedata o:title=""/>
            <o:lock v:ext="edit"/>
          </v:line>
        </w:pict>
      </w:r>
      <w:r>
        <w:rPr>
          <w:rFonts w:hint="eastAsia" w:ascii="仿宋_GB2312" w:hAnsi="仿宋_GB2312" w:eastAsia="仿宋_GB2312" w:cs="仿宋_GB2312"/>
          <w:color w:val="000000" w:themeColor="text1"/>
          <w:kern w:val="2"/>
          <w:sz w:val="28"/>
          <w:szCs w:val="28"/>
          <w:lang w:val="en-US" w:bidi="ar-SA"/>
        </w:rPr>
        <w:t>。</w:t>
      </w:r>
    </w:p>
    <w:p w14:paraId="7ECB793A">
      <w:pPr>
        <w:pStyle w:val="3"/>
        <w:widowControl w:val="0"/>
        <w:kinsoku/>
        <w:wordWrap/>
        <w:overflowPunct/>
        <w:topLinePunct w:val="0"/>
        <w:bidi w:val="0"/>
        <w:adjustRightInd w:val="0"/>
        <w:snapToGrid w:val="0"/>
        <w:spacing w:line="360" w:lineRule="auto"/>
        <w:ind w:left="0" w:leftChars="0" w:firstLine="0" w:firstLineChars="0"/>
        <w:textAlignment w:val="auto"/>
        <w:rPr>
          <w:rFonts w:ascii="黑体" w:hAnsi="黑体" w:eastAsia="黑体"/>
          <w:b/>
          <w:bCs/>
          <w:color w:val="000000" w:themeColor="text1"/>
          <w:sz w:val="30"/>
          <w:szCs w:val="30"/>
        </w:rPr>
      </w:pPr>
      <w:r>
        <w:rPr>
          <w:rFonts w:hint="eastAsia" w:ascii="黑体" w:hAnsi="黑体" w:eastAsia="黑体"/>
          <w:b w:val="0"/>
          <w:bCs w:val="0"/>
          <w:color w:val="000000" w:themeColor="text1"/>
          <w:sz w:val="30"/>
          <w:szCs w:val="30"/>
        </w:rPr>
        <w:t>1.2 规划期限</w:t>
      </w:r>
    </w:p>
    <w:p w14:paraId="5D64DD32">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规划期限与荷花山镇国土空间总体规划期限保持一致，即规划期限为2021-2035年，近期至2025年，远期至2035年。</w:t>
      </w:r>
    </w:p>
    <w:p w14:paraId="23E14451">
      <w:pPr>
        <w:pStyle w:val="2"/>
        <w:keepNext/>
        <w:keepLines/>
        <w:widowControl w:val="0"/>
        <w:kinsoku/>
        <w:wordWrap/>
        <w:overflowPunct/>
        <w:topLinePunct w:val="0"/>
        <w:autoSpaceDE/>
        <w:autoSpaceDN/>
        <w:bidi w:val="0"/>
        <w:adjustRightInd w:val="0"/>
        <w:snapToGrid w:val="0"/>
        <w:spacing w:line="360" w:lineRule="auto"/>
        <w:textAlignment w:val="auto"/>
        <w:rPr>
          <w:rFonts w:ascii="黑体" w:hAnsi="黑体" w:eastAsia="黑体" w:cstheme="minorBidi"/>
          <w:color w:val="000000" w:themeColor="text1"/>
          <w:kern w:val="44"/>
          <w:sz w:val="36"/>
          <w:lang w:val="en-US" w:bidi="ar-SA"/>
        </w:rPr>
      </w:pPr>
      <w:r>
        <w:rPr>
          <w:rFonts w:hint="eastAsia" w:ascii="黑体" w:hAnsi="黑体" w:eastAsia="黑体" w:cstheme="minorBidi"/>
          <w:b w:val="0"/>
          <w:bCs w:val="0"/>
          <w:color w:val="000000" w:themeColor="text1"/>
          <w:kern w:val="44"/>
          <w:sz w:val="36"/>
          <w:lang w:val="en-US" w:bidi="ar-SA"/>
        </w:rPr>
        <w:t>2.规划发展目标</w:t>
      </w:r>
    </w:p>
    <w:p w14:paraId="354B00D6">
      <w:pPr>
        <w:pStyle w:val="3"/>
        <w:widowControl w:val="0"/>
        <w:kinsoku/>
        <w:wordWrap/>
        <w:overflowPunct/>
        <w:topLinePunct w:val="0"/>
        <w:bidi w:val="0"/>
        <w:adjustRightInd w:val="0"/>
        <w:snapToGrid w:val="0"/>
        <w:spacing w:line="360" w:lineRule="auto"/>
        <w:ind w:left="0" w:leftChars="0" w:firstLine="0" w:firstLineChars="0"/>
        <w:textAlignment w:val="auto"/>
        <w:rPr>
          <w:rFonts w:ascii="黑体" w:hAnsi="黑体" w:eastAsia="黑体"/>
          <w:b/>
          <w:bCs/>
          <w:color w:val="000000" w:themeColor="text1"/>
          <w:sz w:val="30"/>
          <w:szCs w:val="30"/>
        </w:rPr>
      </w:pPr>
      <w:bookmarkStart w:id="0" w:name="_Toc24953"/>
      <w:r>
        <w:rPr>
          <w:rFonts w:hint="eastAsia" w:ascii="黑体" w:hAnsi="黑体" w:eastAsia="黑体"/>
          <w:b w:val="0"/>
          <w:bCs w:val="0"/>
          <w:color w:val="000000" w:themeColor="text1"/>
          <w:sz w:val="30"/>
          <w:szCs w:val="30"/>
        </w:rPr>
        <w:t>2.1</w:t>
      </w:r>
      <w:r>
        <w:rPr>
          <w:rFonts w:ascii="黑体" w:hAnsi="黑体" w:eastAsia="黑体"/>
          <w:b w:val="0"/>
          <w:bCs w:val="0"/>
          <w:color w:val="000000" w:themeColor="text1"/>
          <w:sz w:val="30"/>
          <w:szCs w:val="30"/>
        </w:rPr>
        <w:t xml:space="preserve"> </w:t>
      </w:r>
      <w:r>
        <w:rPr>
          <w:rFonts w:hint="eastAsia" w:ascii="黑体" w:hAnsi="黑体" w:eastAsia="黑体"/>
          <w:b w:val="0"/>
          <w:bCs w:val="0"/>
          <w:color w:val="000000" w:themeColor="text1"/>
          <w:sz w:val="30"/>
          <w:szCs w:val="30"/>
        </w:rPr>
        <w:t>规划发展目标及定位</w:t>
      </w:r>
      <w:bookmarkEnd w:id="0"/>
    </w:p>
    <w:p w14:paraId="2A58636E">
      <w:pPr>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2.1.1功能定位</w:t>
      </w:r>
    </w:p>
    <w:p w14:paraId="341FC453">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郭家村以发展农业现代化为主、推动食用菌、经济作物等特色种植业的发展，提升文化旅游产业、加速一产三产产业融合发展，优化生活环境，打造生态宜居、产业兴旺的乡村家园。</w:t>
      </w:r>
    </w:p>
    <w:p w14:paraId="7FFAD64A">
      <w:pPr>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2.1.2发展目标</w:t>
      </w:r>
    </w:p>
    <w:p w14:paraId="1D126343">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根据上位规划中各村职能类型的确定，引导荷花山镇良好有序的发展。将整个镇划分为四种职能类型：综合型、农业型、农旅型、生态产业型。其中郭家村定位为农旅型，以发展食用菌种植产业为主的行政村，依托南部花山湖旅游度假区和古城遗址，着力发展农旅、文旅融合新业态。</w:t>
      </w:r>
    </w:p>
    <w:p w14:paraId="00E8FB9E">
      <w:pPr>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b/>
          <w:color w:val="000000" w:themeColor="text1"/>
        </w:rPr>
      </w:pPr>
      <w:r>
        <w:rPr>
          <w:rFonts w:hint="eastAsia" w:ascii="仿宋_GB2312" w:hAnsi="仿宋_GB2312" w:eastAsia="仿宋_GB2312" w:cs="仿宋_GB2312"/>
          <w:color w:val="000000" w:themeColor="text1"/>
          <w:kern w:val="2"/>
          <w:sz w:val="28"/>
          <w:szCs w:val="28"/>
          <w:lang w:val="en-US" w:bidi="ar-SA"/>
        </w:rPr>
        <w:t>结合郭家村实际情况及近年文旅产业的新发展，依托郭家村得天独厚的资源条件，郭家村重点围绕已成初具规模的食用菌、水果等特色种植业以及露营文旅产业，大力发展休闲农业、农业旅游、养老农业等高经济附加值的服务型农业，推动一二三产融合发展。</w:t>
      </w:r>
    </w:p>
    <w:p w14:paraId="52677B2E">
      <w:pPr>
        <w:pStyle w:val="3"/>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ascii="黑体" w:hAnsi="黑体" w:eastAsia="黑体"/>
          <w:b/>
          <w:bCs/>
          <w:color w:val="000000" w:themeColor="text1"/>
          <w:sz w:val="30"/>
          <w:szCs w:val="30"/>
        </w:rPr>
      </w:pPr>
      <w:r>
        <w:rPr>
          <w:rFonts w:hint="eastAsia" w:ascii="黑体" w:hAnsi="黑体" w:eastAsia="黑体"/>
          <w:b w:val="0"/>
          <w:bCs w:val="0"/>
          <w:color w:val="000000" w:themeColor="text1"/>
          <w:sz w:val="30"/>
          <w:szCs w:val="30"/>
        </w:rPr>
        <w:t>2.2 发展</w:t>
      </w:r>
      <w:r>
        <w:rPr>
          <w:rFonts w:ascii="黑体" w:hAnsi="黑体" w:eastAsia="黑体"/>
          <w:b w:val="0"/>
          <w:bCs w:val="0"/>
          <w:color w:val="000000" w:themeColor="text1"/>
          <w:sz w:val="30"/>
          <w:szCs w:val="30"/>
        </w:rPr>
        <w:t>引导</w:t>
      </w:r>
    </w:p>
    <w:p w14:paraId="05402BC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2.2.1分类定位</w:t>
      </w:r>
    </w:p>
    <w:p w14:paraId="0D21038F">
      <w:pPr>
        <w:pStyle w:val="7"/>
        <w:keepNext w:val="0"/>
        <w:keepLines w:val="0"/>
        <w:pageBreakBefore w:val="0"/>
        <w:widowControl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r>
        <w:rPr>
          <w:rFonts w:hint="eastAsia" w:ascii="仿宋_GB2312" w:hAnsi="仿宋_GB2312" w:eastAsia="仿宋_GB2312" w:cs="仿宋_GB2312"/>
          <w:color w:val="000000" w:themeColor="text1"/>
        </w:rPr>
        <w:t>根据《关于统筹推进村庄规划工作的建议》(农规发〔2019) 1号)，应“合理划分县域村庄类型，划分为集聚提升村庄、城郊融合类村庄</w:t>
      </w:r>
      <w:bookmarkStart w:id="5" w:name="_GoBack"/>
      <w:bookmarkEnd w:id="5"/>
      <w:r>
        <w:rPr>
          <w:rFonts w:hint="eastAsia" w:ascii="仿宋_GB2312" w:hAnsi="仿宋_GB2312" w:eastAsia="仿宋_GB2312" w:cs="仿宋_GB2312"/>
          <w:color w:val="000000" w:themeColor="text1"/>
        </w:rPr>
        <w:t>、特色保护类村庄、搬迁撤并类村庄和暂不分类村庄”。同时根据《大连市村庄规划编制技术导则》村庄分类为集聚建设类、城郊融合类、整治提升类、特色保护类、搬迁撤并类。</w:t>
      </w:r>
    </w:p>
    <w:p w14:paraId="06D3B39B">
      <w:pPr>
        <w:pStyle w:val="7"/>
        <w:widowControl w:val="0"/>
        <w:kinsoku/>
        <w:wordWrap/>
        <w:overflowPunct/>
        <w:topLinePunct w:val="0"/>
        <w:bidi w:val="0"/>
        <w:adjustRightInd w:val="0"/>
        <w:snapToGrid w:val="0"/>
        <w:spacing w:line="360" w:lineRule="auto"/>
        <w:ind w:left="0" w:firstLine="560" w:firstLineChars="200"/>
        <w:jc w:val="both"/>
        <w:textAlignment w:val="auto"/>
        <w:rPr>
          <w:rFonts w:ascii="仿宋" w:hAnsi="仿宋" w:eastAsia="仿宋"/>
          <w:color w:val="000000" w:themeColor="text1"/>
        </w:rPr>
      </w:pPr>
      <w:r>
        <w:rPr>
          <w:rFonts w:hint="eastAsia" w:ascii="仿宋_GB2312" w:hAnsi="仿宋_GB2312" w:eastAsia="仿宋_GB2312" w:cs="仿宋_GB2312"/>
          <w:color w:val="000000" w:themeColor="text1"/>
        </w:rPr>
        <w:t>结合郭家村区位条件、资源禀赋，以及农业产业优势，将郭家村为</w:t>
      </w:r>
      <w:r>
        <w:rPr>
          <w:rFonts w:hint="eastAsia" w:ascii="仿宋_GB2312" w:hAnsi="仿宋_GB2312" w:eastAsia="仿宋_GB2312" w:cs="仿宋_GB2312"/>
          <w:b/>
          <w:color w:val="000000" w:themeColor="text1"/>
          <w:lang w:eastAsia="zh-CN"/>
        </w:rPr>
        <w:t>集聚建设类</w:t>
      </w:r>
      <w:r>
        <w:rPr>
          <w:rFonts w:hint="eastAsia" w:ascii="仿宋_GB2312" w:hAnsi="仿宋_GB2312" w:eastAsia="仿宋_GB2312" w:cs="仿宋_GB2312"/>
          <w:b/>
          <w:color w:val="000000" w:themeColor="text1"/>
        </w:rPr>
        <w:t>村庄</w:t>
      </w:r>
      <w:r>
        <w:rPr>
          <w:rFonts w:hint="eastAsia" w:ascii="仿宋_GB2312" w:hAnsi="仿宋_GB2312" w:eastAsia="仿宋_GB2312" w:cs="仿宋_GB2312"/>
          <w:color w:val="000000" w:themeColor="text1"/>
        </w:rPr>
        <w:t>。</w:t>
      </w:r>
    </w:p>
    <w:p w14:paraId="43AC7835">
      <w:pPr>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2.2.2 分型引导</w:t>
      </w:r>
    </w:p>
    <w:p w14:paraId="3BCC6A02">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olor w:val="000000" w:themeColor="text1"/>
          <w:sz w:val="22"/>
          <w:szCs w:val="22"/>
          <w:lang w:val="en-US"/>
        </w:rPr>
      </w:pPr>
      <w:r>
        <w:rPr>
          <w:rFonts w:hint="eastAsia" w:ascii="仿宋_GB2312" w:hAnsi="仿宋_GB2312" w:eastAsia="仿宋_GB2312" w:cs="仿宋_GB2312"/>
          <w:color w:val="000000" w:themeColor="text1"/>
          <w:kern w:val="2"/>
          <w:sz w:val="28"/>
          <w:szCs w:val="28"/>
          <w:lang w:val="en-US" w:bidi="ar-SA"/>
        </w:rPr>
        <w:t>落实上位规划的分型引导要求，将郭家村定为等量型村庄。</w:t>
      </w:r>
    </w:p>
    <w:p w14:paraId="422FAAEA">
      <w:pPr>
        <w:pStyle w:val="2"/>
        <w:keepNext/>
        <w:keepLines/>
        <w:widowControl w:val="0"/>
        <w:kinsoku/>
        <w:wordWrap/>
        <w:overflowPunct/>
        <w:topLinePunct w:val="0"/>
        <w:autoSpaceDE/>
        <w:autoSpaceDN/>
        <w:bidi w:val="0"/>
        <w:adjustRightInd w:val="0"/>
        <w:snapToGrid w:val="0"/>
        <w:spacing w:line="360" w:lineRule="auto"/>
        <w:textAlignment w:val="auto"/>
        <w:rPr>
          <w:rFonts w:ascii="黑体" w:hAnsi="黑体" w:eastAsia="黑体" w:cstheme="minorBidi"/>
          <w:color w:val="000000" w:themeColor="text1"/>
          <w:kern w:val="44"/>
          <w:sz w:val="36"/>
          <w:lang w:val="en-US" w:bidi="ar-SA"/>
        </w:rPr>
      </w:pPr>
      <w:r>
        <w:rPr>
          <w:rFonts w:hint="eastAsia" w:ascii="黑体" w:hAnsi="黑体" w:eastAsia="黑体" w:cstheme="minorBidi"/>
          <w:b w:val="0"/>
          <w:bCs w:val="0"/>
          <w:color w:val="000000" w:themeColor="text1"/>
          <w:kern w:val="44"/>
          <w:sz w:val="36"/>
          <w:lang w:val="en-US" w:bidi="ar-SA"/>
        </w:rPr>
        <w:t>3</w:t>
      </w:r>
      <w:r>
        <w:rPr>
          <w:rFonts w:ascii="黑体" w:hAnsi="黑体" w:eastAsia="黑体" w:cstheme="minorBidi"/>
          <w:b w:val="0"/>
          <w:bCs w:val="0"/>
          <w:color w:val="000000" w:themeColor="text1"/>
          <w:kern w:val="44"/>
          <w:sz w:val="36"/>
          <w:lang w:val="en-US" w:bidi="ar-SA"/>
        </w:rPr>
        <w:t>.</w:t>
      </w:r>
      <w:r>
        <w:rPr>
          <w:rFonts w:hint="eastAsia" w:ascii="黑体" w:hAnsi="黑体" w:eastAsia="黑体" w:cstheme="minorBidi"/>
          <w:b w:val="0"/>
          <w:bCs w:val="0"/>
          <w:color w:val="000000" w:themeColor="text1"/>
          <w:kern w:val="44"/>
          <w:sz w:val="36"/>
          <w:lang w:val="en-US" w:bidi="ar-SA"/>
        </w:rPr>
        <w:t>规划发展规模</w:t>
      </w:r>
    </w:p>
    <w:p w14:paraId="649749F0">
      <w:pPr>
        <w:pStyle w:val="3"/>
        <w:widowControl w:val="0"/>
        <w:kinsoku/>
        <w:wordWrap/>
        <w:overflowPunct/>
        <w:topLinePunct w:val="0"/>
        <w:bidi w:val="0"/>
        <w:adjustRightInd w:val="0"/>
        <w:snapToGrid w:val="0"/>
        <w:spacing w:line="360" w:lineRule="auto"/>
        <w:ind w:left="0" w:leftChars="0" w:firstLine="0" w:firstLineChars="0"/>
        <w:textAlignment w:val="auto"/>
        <w:rPr>
          <w:rFonts w:hint="eastAsia" w:ascii="黑体" w:hAnsi="黑体" w:eastAsia="黑体"/>
          <w:b/>
          <w:bCs/>
          <w:color w:val="000000" w:themeColor="text1"/>
          <w:sz w:val="30"/>
          <w:szCs w:val="30"/>
        </w:rPr>
      </w:pPr>
      <w:bookmarkStart w:id="1" w:name="_Toc5660"/>
      <w:r>
        <w:rPr>
          <w:rFonts w:hint="eastAsia" w:ascii="黑体" w:hAnsi="黑体" w:eastAsia="黑体"/>
          <w:b w:val="0"/>
          <w:bCs w:val="0"/>
          <w:color w:val="000000" w:themeColor="text1"/>
          <w:sz w:val="30"/>
          <w:szCs w:val="30"/>
        </w:rPr>
        <w:t>3.</w:t>
      </w:r>
      <w:bookmarkEnd w:id="1"/>
      <w:r>
        <w:rPr>
          <w:rFonts w:hint="eastAsia" w:ascii="黑体" w:hAnsi="黑体" w:eastAsia="黑体"/>
          <w:b w:val="0"/>
          <w:bCs w:val="0"/>
          <w:color w:val="000000" w:themeColor="text1"/>
          <w:sz w:val="30"/>
          <w:szCs w:val="30"/>
        </w:rPr>
        <w:t>1</w:t>
      </w:r>
      <w:r>
        <w:rPr>
          <w:rFonts w:ascii="黑体" w:hAnsi="黑体" w:eastAsia="黑体"/>
          <w:b w:val="0"/>
          <w:bCs w:val="0"/>
          <w:color w:val="000000" w:themeColor="text1"/>
          <w:sz w:val="30"/>
          <w:szCs w:val="30"/>
        </w:rPr>
        <w:t xml:space="preserve"> </w:t>
      </w:r>
      <w:r>
        <w:rPr>
          <w:rFonts w:hint="eastAsia" w:ascii="黑体" w:hAnsi="黑体" w:eastAsia="黑体"/>
          <w:b w:val="0"/>
          <w:bCs w:val="0"/>
          <w:color w:val="000000" w:themeColor="text1"/>
          <w:sz w:val="30"/>
          <w:szCs w:val="30"/>
        </w:rPr>
        <w:t>人口规模</w:t>
      </w:r>
    </w:p>
    <w:p w14:paraId="77F5DC51">
      <w:pPr>
        <w:pStyle w:val="3"/>
        <w:widowControl w:val="0"/>
        <w:kinsoku/>
        <w:wordWrap/>
        <w:overflowPunct/>
        <w:topLinePunct w:val="0"/>
        <w:bidi w:val="0"/>
        <w:adjustRightInd w:val="0"/>
        <w:snapToGrid w:val="0"/>
        <w:spacing w:line="360" w:lineRule="auto"/>
        <w:ind w:left="0" w:leftChars="0" w:firstLine="0" w:firstLineChars="0"/>
        <w:textAlignment w:val="auto"/>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3.1.1现状人口</w:t>
      </w:r>
    </w:p>
    <w:p w14:paraId="2682E710">
      <w:pPr>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依据郭家村提供近5年人口统计数据分析，郭家村村域户籍总人口呈减少态势，2017年至2018年减少幅度较大，其他年份较为稳定，2020年户籍总户数为713户，户籍总人口2295人。根据最新七普数据显示，郭家村常住人口为1197人，并且以老年人口为主，60周岁以上老年人口约730人，老龄化现象严重，空巢户现象显著。</w:t>
      </w:r>
    </w:p>
    <w:p w14:paraId="1BC4083F">
      <w:pPr>
        <w:pStyle w:val="22"/>
        <w:ind w:left="425" w:firstLine="0" w:firstLineChars="0"/>
        <w:jc w:val="center"/>
        <w:rPr>
          <w:rFonts w:ascii="仿宋" w:hAnsi="仿宋"/>
          <w:b/>
          <w:color w:val="000000" w:themeColor="text1"/>
          <w:sz w:val="28"/>
          <w:szCs w:val="28"/>
        </w:rPr>
      </w:pPr>
      <w:r>
        <w:rPr>
          <w:rFonts w:hint="eastAsia" w:ascii="仿宋_GB2312" w:hAnsi="仿宋_GB2312" w:eastAsia="仿宋_GB2312" w:cs="仿宋_GB2312"/>
          <w:b/>
          <w:color w:val="000000" w:themeColor="text1"/>
          <w:sz w:val="28"/>
          <w:szCs w:val="28"/>
        </w:rPr>
        <w:t>近5年 郭家村全村人口数据</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588"/>
        <w:gridCol w:w="1588"/>
        <w:gridCol w:w="1701"/>
        <w:gridCol w:w="1701"/>
      </w:tblGrid>
      <w:tr w14:paraId="0223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restart"/>
            <w:vAlign w:val="center"/>
          </w:tcPr>
          <w:p w14:paraId="33D146F8">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年份（年）</w:t>
            </w:r>
          </w:p>
        </w:tc>
        <w:tc>
          <w:tcPr>
            <w:tcW w:w="1588" w:type="dxa"/>
            <w:vMerge w:val="restart"/>
            <w:vAlign w:val="center"/>
          </w:tcPr>
          <w:p w14:paraId="7C723458">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户籍总户数（户）</w:t>
            </w:r>
          </w:p>
        </w:tc>
        <w:tc>
          <w:tcPr>
            <w:tcW w:w="4990" w:type="dxa"/>
            <w:gridSpan w:val="3"/>
            <w:vAlign w:val="center"/>
          </w:tcPr>
          <w:p w14:paraId="2CF2CC67">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总人口（人）</w:t>
            </w:r>
          </w:p>
        </w:tc>
      </w:tr>
      <w:tr w14:paraId="1B7C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vAlign w:val="center"/>
          </w:tcPr>
          <w:p w14:paraId="6D96F83D">
            <w:pPr>
              <w:pStyle w:val="8"/>
              <w:jc w:val="center"/>
              <w:rPr>
                <w:rFonts w:ascii="仿宋" w:hAnsi="仿宋" w:eastAsia="仿宋"/>
                <w:b/>
                <w:color w:val="000000" w:themeColor="text1"/>
                <w:sz w:val="24"/>
                <w:szCs w:val="24"/>
              </w:rPr>
            </w:pPr>
          </w:p>
        </w:tc>
        <w:tc>
          <w:tcPr>
            <w:tcW w:w="1588" w:type="dxa"/>
            <w:vMerge w:val="continue"/>
            <w:vAlign w:val="center"/>
          </w:tcPr>
          <w:p w14:paraId="4E130948">
            <w:pPr>
              <w:pStyle w:val="8"/>
              <w:jc w:val="center"/>
              <w:rPr>
                <w:rFonts w:ascii="仿宋" w:hAnsi="仿宋" w:eastAsia="仿宋"/>
                <w:b/>
                <w:color w:val="000000" w:themeColor="text1"/>
                <w:sz w:val="24"/>
                <w:szCs w:val="24"/>
              </w:rPr>
            </w:pPr>
          </w:p>
        </w:tc>
        <w:tc>
          <w:tcPr>
            <w:tcW w:w="1588" w:type="dxa"/>
            <w:vAlign w:val="center"/>
          </w:tcPr>
          <w:p w14:paraId="67A5ABC1">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户籍总人口数（人）</w:t>
            </w:r>
          </w:p>
        </w:tc>
        <w:tc>
          <w:tcPr>
            <w:tcW w:w="1701" w:type="dxa"/>
            <w:vAlign w:val="center"/>
          </w:tcPr>
          <w:p w14:paraId="79D269C4">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非农业人口（人）</w:t>
            </w:r>
          </w:p>
        </w:tc>
        <w:tc>
          <w:tcPr>
            <w:tcW w:w="1701" w:type="dxa"/>
            <w:vAlign w:val="center"/>
          </w:tcPr>
          <w:p w14:paraId="236BD597">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农业人口</w:t>
            </w:r>
          </w:p>
          <w:p w14:paraId="07FAE47A">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（人）</w:t>
            </w:r>
          </w:p>
        </w:tc>
      </w:tr>
      <w:tr w14:paraId="70DE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14:paraId="1182914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2016</w:t>
            </w:r>
          </w:p>
        </w:tc>
        <w:tc>
          <w:tcPr>
            <w:tcW w:w="1588" w:type="dxa"/>
            <w:vAlign w:val="center"/>
          </w:tcPr>
          <w:p w14:paraId="5B1D791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717</w:t>
            </w:r>
          </w:p>
        </w:tc>
        <w:tc>
          <w:tcPr>
            <w:tcW w:w="1588" w:type="dxa"/>
            <w:vAlign w:val="center"/>
          </w:tcPr>
          <w:p w14:paraId="6FD79F1C">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2439</w:t>
            </w:r>
          </w:p>
        </w:tc>
        <w:tc>
          <w:tcPr>
            <w:tcW w:w="1701" w:type="dxa"/>
            <w:vAlign w:val="center"/>
          </w:tcPr>
          <w:p w14:paraId="5B8738B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353</w:t>
            </w:r>
          </w:p>
        </w:tc>
        <w:tc>
          <w:tcPr>
            <w:tcW w:w="1701" w:type="dxa"/>
            <w:vAlign w:val="center"/>
          </w:tcPr>
          <w:p w14:paraId="47DB6A6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2086</w:t>
            </w:r>
          </w:p>
        </w:tc>
      </w:tr>
      <w:tr w14:paraId="6CBC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14:paraId="59C023CF">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2017</w:t>
            </w:r>
          </w:p>
        </w:tc>
        <w:tc>
          <w:tcPr>
            <w:tcW w:w="1588" w:type="dxa"/>
            <w:vAlign w:val="center"/>
          </w:tcPr>
          <w:p w14:paraId="3B8F6A7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715</w:t>
            </w:r>
          </w:p>
        </w:tc>
        <w:tc>
          <w:tcPr>
            <w:tcW w:w="1588" w:type="dxa"/>
            <w:vAlign w:val="center"/>
          </w:tcPr>
          <w:p w14:paraId="38C27806">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2400</w:t>
            </w:r>
          </w:p>
        </w:tc>
        <w:tc>
          <w:tcPr>
            <w:tcW w:w="1701" w:type="dxa"/>
            <w:vAlign w:val="center"/>
          </w:tcPr>
          <w:p w14:paraId="59732CFC">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310</w:t>
            </w:r>
          </w:p>
        </w:tc>
        <w:tc>
          <w:tcPr>
            <w:tcW w:w="1701" w:type="dxa"/>
            <w:vAlign w:val="center"/>
          </w:tcPr>
          <w:p w14:paraId="7BA20B7A">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2090</w:t>
            </w:r>
          </w:p>
        </w:tc>
      </w:tr>
      <w:tr w14:paraId="61A7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14:paraId="5FA4AEEF">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2018</w:t>
            </w:r>
          </w:p>
        </w:tc>
        <w:tc>
          <w:tcPr>
            <w:tcW w:w="1588" w:type="dxa"/>
            <w:vAlign w:val="center"/>
          </w:tcPr>
          <w:p w14:paraId="0E0BED43">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714</w:t>
            </w:r>
          </w:p>
        </w:tc>
        <w:tc>
          <w:tcPr>
            <w:tcW w:w="1588" w:type="dxa"/>
            <w:vAlign w:val="center"/>
          </w:tcPr>
          <w:p w14:paraId="35AC4BDF">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2284</w:t>
            </w:r>
          </w:p>
        </w:tc>
        <w:tc>
          <w:tcPr>
            <w:tcW w:w="1701" w:type="dxa"/>
            <w:vAlign w:val="center"/>
          </w:tcPr>
          <w:p w14:paraId="32DD9BB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310</w:t>
            </w:r>
          </w:p>
        </w:tc>
        <w:tc>
          <w:tcPr>
            <w:tcW w:w="1701" w:type="dxa"/>
            <w:vAlign w:val="center"/>
          </w:tcPr>
          <w:p w14:paraId="06B64B7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1974</w:t>
            </w:r>
          </w:p>
        </w:tc>
      </w:tr>
      <w:tr w14:paraId="68E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14:paraId="4DE114E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2019</w:t>
            </w:r>
          </w:p>
        </w:tc>
        <w:tc>
          <w:tcPr>
            <w:tcW w:w="1588" w:type="dxa"/>
            <w:vAlign w:val="center"/>
          </w:tcPr>
          <w:p w14:paraId="1BEAEFE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713</w:t>
            </w:r>
          </w:p>
        </w:tc>
        <w:tc>
          <w:tcPr>
            <w:tcW w:w="1588" w:type="dxa"/>
            <w:vAlign w:val="center"/>
          </w:tcPr>
          <w:p w14:paraId="49FFB2B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2292</w:t>
            </w:r>
          </w:p>
        </w:tc>
        <w:tc>
          <w:tcPr>
            <w:tcW w:w="1701" w:type="dxa"/>
            <w:vAlign w:val="center"/>
          </w:tcPr>
          <w:p w14:paraId="39D6DE1C">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314</w:t>
            </w:r>
          </w:p>
        </w:tc>
        <w:tc>
          <w:tcPr>
            <w:tcW w:w="1701" w:type="dxa"/>
            <w:vAlign w:val="center"/>
          </w:tcPr>
          <w:p w14:paraId="69BDCCA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1978</w:t>
            </w:r>
          </w:p>
        </w:tc>
      </w:tr>
      <w:tr w14:paraId="7AD1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14:paraId="3A4B7F46">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2020</w:t>
            </w:r>
          </w:p>
        </w:tc>
        <w:tc>
          <w:tcPr>
            <w:tcW w:w="1588" w:type="dxa"/>
            <w:vAlign w:val="center"/>
          </w:tcPr>
          <w:p w14:paraId="3C83F0B4">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713</w:t>
            </w:r>
          </w:p>
        </w:tc>
        <w:tc>
          <w:tcPr>
            <w:tcW w:w="1588" w:type="dxa"/>
            <w:vAlign w:val="center"/>
          </w:tcPr>
          <w:p w14:paraId="5E5D044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2295</w:t>
            </w:r>
          </w:p>
        </w:tc>
        <w:tc>
          <w:tcPr>
            <w:tcW w:w="1701" w:type="dxa"/>
            <w:vAlign w:val="center"/>
          </w:tcPr>
          <w:p w14:paraId="33F13A33">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315</w:t>
            </w:r>
          </w:p>
        </w:tc>
        <w:tc>
          <w:tcPr>
            <w:tcW w:w="1701" w:type="dxa"/>
            <w:vAlign w:val="center"/>
          </w:tcPr>
          <w:p w14:paraId="21C93A4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1980</w:t>
            </w:r>
          </w:p>
        </w:tc>
      </w:tr>
    </w:tbl>
    <w:p w14:paraId="3FB5BF0C">
      <w:pPr>
        <w:pageBreakBefore w:val="0"/>
        <w:kinsoku/>
        <w:wordWrap/>
        <w:overflowPunct/>
        <w:topLinePunct w:val="0"/>
        <w:autoSpaceDE/>
        <w:autoSpaceDN/>
        <w:bidi w:val="0"/>
        <w:adjustRightInd w:val="0"/>
        <w:snapToGrid w:val="0"/>
        <w:spacing w:line="360" w:lineRule="auto"/>
        <w:ind w:left="0"/>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3.1.2人口规模</w:t>
      </w:r>
    </w:p>
    <w:p w14:paraId="569BD63F">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olor w:val="000000" w:themeColor="text1"/>
          <w:sz w:val="22"/>
          <w:szCs w:val="22"/>
        </w:rPr>
      </w:pPr>
      <w:r>
        <w:rPr>
          <w:rFonts w:hint="eastAsia" w:ascii="仿宋_GB2312" w:hAnsi="仿宋_GB2312" w:eastAsia="仿宋_GB2312" w:cs="仿宋_GB2312"/>
          <w:color w:val="000000" w:themeColor="text1"/>
          <w:kern w:val="2"/>
          <w:sz w:val="28"/>
          <w:szCs w:val="28"/>
          <w:lang w:val="en-US" w:bidi="ar-SA"/>
        </w:rPr>
        <w:t>鉴于郭家村以农业生产为主，暂无工业企业，未来人口机械增长作用近乎于无，现状人口自然增长率较低，老龄化严重，外流趋势明显，传统方法人口规模预测不适用于本村，本次规划采用上位规划指标分配法确定郭家村规划期末人口数，规划至2035年，郭家村常住人口为1080人。</w:t>
      </w:r>
    </w:p>
    <w:p w14:paraId="44A8F271">
      <w:pPr>
        <w:pStyle w:val="3"/>
        <w:pageBreakBefore w:val="0"/>
        <w:kinsoku/>
        <w:wordWrap/>
        <w:overflowPunct/>
        <w:topLinePunct w:val="0"/>
        <w:bidi w:val="0"/>
        <w:adjustRightInd w:val="0"/>
        <w:snapToGrid w:val="0"/>
        <w:spacing w:line="360" w:lineRule="auto"/>
        <w:ind w:left="0"/>
        <w:textAlignment w:val="auto"/>
        <w:rPr>
          <w:rFonts w:ascii="黑体" w:hAnsi="黑体" w:eastAsia="黑体"/>
          <w:b/>
          <w:bCs/>
          <w:color w:val="000000" w:themeColor="text1"/>
          <w:sz w:val="30"/>
          <w:szCs w:val="30"/>
        </w:rPr>
      </w:pPr>
      <w:bookmarkStart w:id="2" w:name="_Toc30334"/>
      <w:r>
        <w:rPr>
          <w:rFonts w:hint="eastAsia" w:ascii="黑体" w:hAnsi="黑体" w:eastAsia="黑体"/>
          <w:b w:val="0"/>
          <w:bCs w:val="0"/>
          <w:color w:val="000000" w:themeColor="text1"/>
          <w:sz w:val="30"/>
          <w:szCs w:val="30"/>
        </w:rPr>
        <w:t>3.2</w:t>
      </w:r>
      <w:r>
        <w:rPr>
          <w:rFonts w:ascii="黑体" w:hAnsi="黑体" w:eastAsia="黑体"/>
          <w:b w:val="0"/>
          <w:bCs w:val="0"/>
          <w:color w:val="000000" w:themeColor="text1"/>
          <w:sz w:val="30"/>
          <w:szCs w:val="30"/>
        </w:rPr>
        <w:t xml:space="preserve"> </w:t>
      </w:r>
      <w:r>
        <w:rPr>
          <w:rFonts w:hint="eastAsia" w:ascii="黑体" w:hAnsi="黑体" w:eastAsia="黑体"/>
          <w:b w:val="0"/>
          <w:bCs w:val="0"/>
          <w:color w:val="000000" w:themeColor="text1"/>
          <w:sz w:val="30"/>
          <w:szCs w:val="30"/>
        </w:rPr>
        <w:t>建设用地规模</w:t>
      </w:r>
      <w:bookmarkEnd w:id="2"/>
    </w:p>
    <w:p w14:paraId="50799E22">
      <w:pPr>
        <w:pageBreakBefore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3.2.1现状建设用地概况</w:t>
      </w:r>
    </w:p>
    <w:p w14:paraId="4704FB0F">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本规划主要依据《国土空间调查、规划、用途管制用地用海分类指南（试行）》（自然资源部，2020年11月），进行土地分类。</w:t>
      </w:r>
    </w:p>
    <w:p w14:paraId="292ABF57">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全村国土总面积为2803.04公顷，农用地面积2677.97，占国土总用地95.54%；建设用地面积57.07公顷，占国土总用地2.04%；其他用地68公顷，占国土总面积2.43%。</w:t>
      </w:r>
    </w:p>
    <w:p w14:paraId="128797C7">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人均建设用地248.67㎡，人均建设用地指标较高。</w:t>
      </w:r>
    </w:p>
    <w:p w14:paraId="7C27EDBB">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其中：</w:t>
      </w:r>
    </w:p>
    <w:p w14:paraId="0F76236A">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(1)农村宅基地39.13公顷，占总用地的1.40%，人均宅基地面积170.50㎡，户均宅基地面积548.81㎡。远超国家和辽宁省户均宅基地标准，户均宅基地面积偏高。</w:t>
      </w:r>
    </w:p>
    <w:p w14:paraId="149A8412">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ascii="仿宋" w:hAnsi="仿宋" w:eastAsia="仿宋"/>
          <w:color w:val="000000" w:themeColor="text1"/>
          <w:sz w:val="22"/>
          <w:szCs w:val="22"/>
          <w:lang w:val="en-US"/>
        </w:rPr>
      </w:pPr>
      <w:r>
        <w:rPr>
          <w:rFonts w:hint="eastAsia" w:ascii="仿宋_GB2312" w:hAnsi="仿宋_GB2312" w:eastAsia="仿宋_GB2312" w:cs="仿宋_GB2312"/>
          <w:color w:val="000000" w:themeColor="text1"/>
          <w:kern w:val="2"/>
          <w:sz w:val="28"/>
          <w:szCs w:val="28"/>
          <w:lang w:val="en-US" w:bidi="ar-SA"/>
        </w:rPr>
        <w:t>(2)公共管理与公共服务用地0.81公顷，占总用地的0.03%，主要由村委会、中小学等用地组成，用地指标偏低。</w:t>
      </w:r>
    </w:p>
    <w:p w14:paraId="23982605">
      <w:pPr>
        <w:pageBreakBefore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3.2.2建设用地规模</w:t>
      </w:r>
    </w:p>
    <w:p w14:paraId="5C9A72EB">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规划范围内规划建设用地规模为61.56 公顷。</w:t>
      </w:r>
    </w:p>
    <w:p w14:paraId="29A010A4">
      <w:pPr>
        <w:pageBreakBefore w:val="0"/>
        <w:kinsoku/>
        <w:wordWrap/>
        <w:overflowPunct/>
        <w:topLinePunct w:val="0"/>
        <w:autoSpaceDE/>
        <w:autoSpaceDN/>
        <w:bidi w:val="0"/>
        <w:adjustRightInd w:val="0"/>
        <w:snapToGrid w:val="0"/>
        <w:spacing w:line="360" w:lineRule="auto"/>
        <w:ind w:left="0" w:firstLine="560" w:firstLineChars="200"/>
        <w:jc w:val="both"/>
        <w:textAlignment w:val="auto"/>
        <w:rPr>
          <w:rFonts w:hint="eastAsia"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划定村庄建设边界，用地面积为45.79 公顷。分为现状保留区、规划新增区。其中现状保留区45.28公顷；规划新增区面积为0.51 公顷。</w:t>
      </w:r>
    </w:p>
    <w:p w14:paraId="7D4AD87E">
      <w:pPr>
        <w:pStyle w:val="2"/>
        <w:keepNext/>
        <w:keepLines/>
        <w:pageBreakBefore w:val="0"/>
        <w:widowControl w:val="0"/>
        <w:kinsoku/>
        <w:wordWrap/>
        <w:overflowPunct/>
        <w:topLinePunct w:val="0"/>
        <w:autoSpaceDE/>
        <w:autoSpaceDN/>
        <w:bidi w:val="0"/>
        <w:adjustRightInd w:val="0"/>
        <w:snapToGrid w:val="0"/>
        <w:spacing w:line="360" w:lineRule="auto"/>
        <w:ind w:left="0" w:firstLine="0"/>
        <w:textAlignment w:val="auto"/>
        <w:rPr>
          <w:rFonts w:ascii="黑体" w:hAnsi="黑体" w:eastAsia="黑体" w:cstheme="minorBidi"/>
          <w:color w:val="000000" w:themeColor="text1"/>
          <w:kern w:val="44"/>
          <w:sz w:val="36"/>
          <w:lang w:val="en-US" w:bidi="ar-SA"/>
        </w:rPr>
      </w:pPr>
      <w:bookmarkStart w:id="3" w:name="_Toc1376"/>
      <w:r>
        <w:rPr>
          <w:rFonts w:ascii="黑体" w:hAnsi="黑体" w:eastAsia="黑体" w:cstheme="minorBidi"/>
          <w:b w:val="0"/>
          <w:bCs w:val="0"/>
          <w:color w:val="000000" w:themeColor="text1"/>
          <w:kern w:val="44"/>
          <w:sz w:val="36"/>
          <w:lang w:val="en-US" w:bidi="ar-SA"/>
        </w:rPr>
        <w:t>4.</w:t>
      </w:r>
      <w:r>
        <w:rPr>
          <w:rFonts w:hint="eastAsia" w:ascii="黑体" w:hAnsi="黑体" w:eastAsia="黑体" w:cstheme="minorBidi"/>
          <w:b w:val="0"/>
          <w:bCs w:val="0"/>
          <w:color w:val="000000" w:themeColor="text1"/>
          <w:kern w:val="44"/>
          <w:sz w:val="36"/>
          <w:lang w:val="en-US" w:bidi="ar-SA"/>
        </w:rPr>
        <w:t>国土空间用地布局</w:t>
      </w:r>
    </w:p>
    <w:p w14:paraId="0C516495">
      <w:pPr>
        <w:pStyle w:val="3"/>
        <w:pageBreakBefore w:val="0"/>
        <w:kinsoku/>
        <w:wordWrap/>
        <w:overflowPunct/>
        <w:topLinePunct w:val="0"/>
        <w:bidi w:val="0"/>
        <w:adjustRightInd w:val="0"/>
        <w:snapToGrid w:val="0"/>
        <w:spacing w:line="360" w:lineRule="auto"/>
        <w:ind w:left="0"/>
        <w:textAlignment w:val="auto"/>
        <w:rPr>
          <w:rFonts w:ascii="黑体" w:hAnsi="黑体" w:eastAsia="黑体"/>
          <w:b/>
          <w:bCs/>
          <w:color w:val="000000" w:themeColor="text1"/>
          <w:sz w:val="30"/>
          <w:szCs w:val="30"/>
        </w:rPr>
      </w:pPr>
      <w:r>
        <w:rPr>
          <w:rFonts w:ascii="黑体" w:hAnsi="黑体" w:eastAsia="黑体"/>
          <w:b w:val="0"/>
          <w:bCs w:val="0"/>
          <w:color w:val="000000" w:themeColor="text1"/>
          <w:sz w:val="30"/>
          <w:szCs w:val="30"/>
        </w:rPr>
        <w:t>4</w:t>
      </w:r>
      <w:r>
        <w:rPr>
          <w:rFonts w:hint="eastAsia" w:ascii="黑体" w:hAnsi="黑体" w:eastAsia="黑体"/>
          <w:b w:val="0"/>
          <w:bCs w:val="0"/>
          <w:color w:val="000000" w:themeColor="text1"/>
          <w:sz w:val="30"/>
          <w:szCs w:val="30"/>
        </w:rPr>
        <w:t>.1</w:t>
      </w:r>
      <w:r>
        <w:rPr>
          <w:rFonts w:ascii="黑体" w:hAnsi="黑体" w:eastAsia="黑体"/>
          <w:b w:val="0"/>
          <w:bCs w:val="0"/>
          <w:color w:val="000000" w:themeColor="text1"/>
          <w:sz w:val="30"/>
          <w:szCs w:val="30"/>
        </w:rPr>
        <w:t xml:space="preserve"> </w:t>
      </w:r>
      <w:r>
        <w:rPr>
          <w:rFonts w:hint="eastAsia" w:ascii="黑体" w:hAnsi="黑体" w:eastAsia="黑体"/>
          <w:b w:val="0"/>
          <w:bCs w:val="0"/>
          <w:color w:val="000000" w:themeColor="text1"/>
          <w:sz w:val="30"/>
          <w:szCs w:val="30"/>
        </w:rPr>
        <w:t>村域用地布局规划</w:t>
      </w:r>
      <w:bookmarkEnd w:id="3"/>
    </w:p>
    <w:p w14:paraId="525F678E">
      <w:pPr>
        <w:pageBreakBefore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4.1.1空间布局结构</w:t>
      </w:r>
    </w:p>
    <w:p w14:paraId="1EC4595A">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r>
        <w:rPr>
          <w:rFonts w:hint="eastAsia" w:ascii="仿宋_GB2312" w:hAnsi="仿宋_GB2312" w:eastAsia="仿宋_GB2312" w:cs="仿宋_GB2312"/>
          <w:color w:val="000000" w:themeColor="text1"/>
        </w:rPr>
        <w:t>规划国土空间布局形成</w:t>
      </w:r>
      <w:r>
        <w:rPr>
          <w:rFonts w:hint="eastAsia" w:ascii="仿宋_GB2312" w:hAnsi="仿宋_GB2312" w:eastAsia="仿宋_GB2312" w:cs="仿宋_GB2312"/>
          <w:b/>
          <w:color w:val="000000" w:themeColor="text1"/>
        </w:rPr>
        <w:t>“生态空间环绕、农业空间居中、生活空间镶嵌”</w:t>
      </w:r>
      <w:r>
        <w:rPr>
          <w:rFonts w:hint="eastAsia" w:ascii="仿宋_GB2312" w:hAnsi="仿宋_GB2312" w:eastAsia="仿宋_GB2312" w:cs="仿宋_GB2312"/>
          <w:color w:val="000000" w:themeColor="text1"/>
        </w:rPr>
        <w:t>的结构。布局“以轴串点、点轴结合”串联起整个村域。其中：</w:t>
      </w:r>
    </w:p>
    <w:p w14:paraId="54DA8741">
      <w:pPr>
        <w:pStyle w:val="7"/>
        <w:pageBreakBefore w:val="0"/>
        <w:kinsoku/>
        <w:wordWrap/>
        <w:overflowPunct/>
        <w:topLinePunct w:val="0"/>
        <w:bidi w:val="0"/>
        <w:adjustRightInd w:val="0"/>
        <w:snapToGrid w:val="0"/>
        <w:spacing w:line="360" w:lineRule="auto"/>
        <w:ind w:left="0" w:firstLine="562" w:firstLineChars="200"/>
        <w:jc w:val="both"/>
        <w:textAlignment w:val="auto"/>
        <w:rPr>
          <w:rFonts w:hint="eastAsia" w:ascii="仿宋_GB2312" w:hAnsi="仿宋_GB2312" w:eastAsia="仿宋_GB2312" w:cs="仿宋_GB2312"/>
          <w:color w:val="000000" w:themeColor="text1"/>
        </w:rPr>
      </w:pPr>
      <w:r>
        <w:rPr>
          <w:rFonts w:hint="eastAsia" w:ascii="仿宋_GB2312" w:hAnsi="仿宋_GB2312" w:eastAsia="仿宋_GB2312" w:cs="仿宋_GB2312"/>
          <w:b/>
          <w:color w:val="000000" w:themeColor="text1"/>
        </w:rPr>
        <w:t>生态空间：</w:t>
      </w:r>
      <w:r>
        <w:rPr>
          <w:rFonts w:hint="eastAsia" w:ascii="仿宋_GB2312" w:hAnsi="仿宋_GB2312" w:eastAsia="仿宋_GB2312" w:cs="仿宋_GB2312"/>
          <w:color w:val="000000" w:themeColor="text1"/>
        </w:rPr>
        <w:t>主要指村域内中部东西流向的夹河为界，北侧夹河山、砬子山、二砬山三山环绕，夹河以南大岭形成整个南部山体屏障。由此形成的生态空间环绕的基底。</w:t>
      </w:r>
    </w:p>
    <w:p w14:paraId="6114C1AF">
      <w:pPr>
        <w:pStyle w:val="7"/>
        <w:pageBreakBefore w:val="0"/>
        <w:kinsoku/>
        <w:wordWrap/>
        <w:overflowPunct/>
        <w:topLinePunct w:val="0"/>
        <w:bidi w:val="0"/>
        <w:adjustRightInd w:val="0"/>
        <w:snapToGrid w:val="0"/>
        <w:spacing w:line="360" w:lineRule="auto"/>
        <w:ind w:left="0" w:firstLine="562" w:firstLineChars="200"/>
        <w:jc w:val="both"/>
        <w:textAlignment w:val="auto"/>
        <w:rPr>
          <w:rFonts w:hint="eastAsia" w:ascii="仿宋_GB2312" w:hAnsi="仿宋_GB2312" w:eastAsia="仿宋_GB2312" w:cs="仿宋_GB2312"/>
          <w:color w:val="000000" w:themeColor="text1"/>
        </w:rPr>
      </w:pPr>
      <w:r>
        <w:rPr>
          <w:rFonts w:hint="eastAsia" w:ascii="仿宋_GB2312" w:hAnsi="仿宋_GB2312" w:eastAsia="仿宋_GB2312" w:cs="仿宋_GB2312"/>
          <w:b/>
          <w:color w:val="000000" w:themeColor="text1"/>
        </w:rPr>
        <w:t>农业空间</w:t>
      </w:r>
      <w:r>
        <w:rPr>
          <w:rFonts w:hint="eastAsia" w:ascii="仿宋_GB2312" w:hAnsi="仿宋_GB2312" w:eastAsia="仿宋_GB2312" w:cs="仿宋_GB2312"/>
          <w:color w:val="000000" w:themeColor="text1"/>
        </w:rPr>
        <w:t>：主要包括四片空间，西部从马岭屯至东房身屯，整体呈南北向L型带状布局的农业生产空间；中部从盘道屯至前田屯南侧的夹河，整体呈南北向块状布局的农业生产空间；中部夹河以东从潘屯至东地屯，整体呈东西向块状布局的农业生产空间；东部从蛮岭屯至东地屯，整体呈南北向带状布局的农业生产空间。</w:t>
      </w:r>
    </w:p>
    <w:p w14:paraId="7450C191">
      <w:pPr>
        <w:pStyle w:val="7"/>
        <w:pageBreakBefore w:val="0"/>
        <w:kinsoku/>
        <w:wordWrap/>
        <w:overflowPunct/>
        <w:topLinePunct w:val="0"/>
        <w:bidi w:val="0"/>
        <w:adjustRightInd w:val="0"/>
        <w:snapToGrid w:val="0"/>
        <w:spacing w:line="360" w:lineRule="auto"/>
        <w:ind w:left="0" w:firstLine="562" w:firstLineChars="200"/>
        <w:jc w:val="both"/>
        <w:textAlignment w:val="auto"/>
        <w:rPr>
          <w:rFonts w:hint="eastAsia" w:ascii="仿宋_GB2312" w:hAnsi="仿宋_GB2312" w:eastAsia="仿宋_GB2312" w:cs="仿宋_GB2312"/>
          <w:color w:val="000000" w:themeColor="text1"/>
        </w:rPr>
      </w:pPr>
      <w:r>
        <w:rPr>
          <w:rFonts w:hint="eastAsia" w:ascii="仿宋_GB2312" w:hAnsi="仿宋_GB2312" w:eastAsia="仿宋_GB2312" w:cs="仿宋_GB2312"/>
          <w:b/>
          <w:color w:val="000000" w:themeColor="text1"/>
        </w:rPr>
        <w:t>生活空间：</w:t>
      </w:r>
      <w:r>
        <w:rPr>
          <w:rFonts w:hint="eastAsia" w:ascii="仿宋_GB2312" w:hAnsi="仿宋_GB2312" w:eastAsia="仿宋_GB2312" w:cs="仿宋_GB2312"/>
          <w:color w:val="000000" w:themeColor="text1"/>
        </w:rPr>
        <w:t>主要指16个居民点整体形成的东西中三个组团，东部组团包括马岭屯、马屯、城沟屯、张屯、东房身屯、河南屯；中部组团包括盘道屯、后田屯、前田屯、潘屯、岗子屯、郭家屯；西部组团包括东地屯、福太屯、蛮岭屯。</w:t>
      </w:r>
    </w:p>
    <w:p w14:paraId="48C3B3AB">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030455B6">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2EF09D61">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23225E14">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1C8E5350">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594BE3EC">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0939F04F">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07757E44">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1E0E16B6">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2D7C7E42">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04E0F64F">
      <w:pPr>
        <w:pStyle w:val="7"/>
        <w:pageBreakBefore w:val="0"/>
        <w:kinsoku/>
        <w:wordWrap/>
        <w:overflowPunct/>
        <w:topLinePunct w:val="0"/>
        <w:bidi w:val="0"/>
        <w:adjustRightInd w:val="0"/>
        <w:snapToGrid w:val="0"/>
        <w:spacing w:line="360" w:lineRule="auto"/>
        <w:ind w:left="0" w:firstLine="560" w:firstLineChars="200"/>
        <w:jc w:val="both"/>
        <w:textAlignment w:val="auto"/>
        <w:rPr>
          <w:rFonts w:hint="eastAsia" w:ascii="仿宋_GB2312" w:hAnsi="仿宋_GB2312" w:eastAsia="仿宋_GB2312" w:cs="仿宋_GB2312"/>
          <w:color w:val="000000" w:themeColor="text1"/>
        </w:rPr>
      </w:pPr>
    </w:p>
    <w:p w14:paraId="373AFA28">
      <w:pPr>
        <w:pStyle w:val="7"/>
        <w:pageBreakBefore w:val="0"/>
        <w:kinsoku/>
        <w:wordWrap/>
        <w:overflowPunct/>
        <w:topLinePunct w:val="0"/>
        <w:bidi w:val="0"/>
        <w:adjustRightInd w:val="0"/>
        <w:snapToGrid w:val="0"/>
        <w:spacing w:line="360" w:lineRule="auto"/>
        <w:jc w:val="both"/>
        <w:textAlignment w:val="auto"/>
        <w:rPr>
          <w:rFonts w:hint="eastAsia" w:ascii="仿宋_GB2312" w:hAnsi="仿宋_GB2312" w:eastAsia="仿宋_GB2312" w:cs="仿宋_GB2312"/>
          <w:color w:val="000000" w:themeColor="text1"/>
        </w:rPr>
      </w:pPr>
    </w:p>
    <w:p w14:paraId="59523533">
      <w:pPr>
        <w:pStyle w:val="7"/>
        <w:spacing w:line="560" w:lineRule="exact"/>
        <w:ind w:firstLine="440" w:firstLineChars="200"/>
        <w:jc w:val="both"/>
        <w:rPr>
          <w:rFonts w:ascii="仿宋" w:hAnsi="仿宋" w:eastAsia="仿宋"/>
          <w:color w:val="000000" w:themeColor="text1"/>
          <w:sz w:val="22"/>
          <w:szCs w:val="22"/>
        </w:rPr>
      </w:pPr>
      <w:r>
        <w:rPr>
          <w:rFonts w:ascii="仿宋" w:hAnsi="仿宋" w:eastAsia="仿宋"/>
          <w:color w:val="000000" w:themeColor="text1"/>
          <w:sz w:val="22"/>
          <w:szCs w:val="22"/>
          <w:lang w:val="en-US" w:bidi="ar-SA"/>
        </w:rPr>
        <w:drawing>
          <wp:anchor distT="0" distB="0" distL="114300" distR="114300" simplePos="0" relativeHeight="251661312" behindDoc="0" locked="0" layoutInCell="1" allowOverlap="1">
            <wp:simplePos x="0" y="0"/>
            <wp:positionH relativeFrom="column">
              <wp:posOffset>2540</wp:posOffset>
            </wp:positionH>
            <wp:positionV relativeFrom="paragraph">
              <wp:posOffset>163830</wp:posOffset>
            </wp:positionV>
            <wp:extent cx="6120130" cy="86582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8658000"/>
                    </a:xfrm>
                    <a:prstGeom prst="rect">
                      <a:avLst/>
                    </a:prstGeom>
                  </pic:spPr>
                </pic:pic>
              </a:graphicData>
            </a:graphic>
          </wp:anchor>
        </w:drawing>
      </w:r>
    </w:p>
    <w:p w14:paraId="6866427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4.1.2土地综合利用</w:t>
      </w:r>
    </w:p>
    <w:p w14:paraId="2CB9DF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bookmarkStart w:id="4" w:name="_Toc27609"/>
      <w:r>
        <w:rPr>
          <w:rFonts w:hint="eastAsia" w:ascii="仿宋_GB2312" w:hAnsi="仿宋_GB2312" w:eastAsia="仿宋_GB2312" w:cs="仿宋_GB2312"/>
          <w:color w:val="000000" w:themeColor="text1"/>
          <w:kern w:val="2"/>
          <w:sz w:val="28"/>
          <w:szCs w:val="28"/>
          <w:lang w:val="en-US" w:bidi="ar-SA"/>
        </w:rPr>
        <w:t>依托郭家村现状发展条件，结合郭家村功能定位与发展目标，优化村域用地结构，综合确定村域范围内各类用地布局及规模。规划郭家村村域用地由农用地、建设用地、其他用地组成。</w:t>
      </w:r>
    </w:p>
    <w:p w14:paraId="24807B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农用地2677.55公顷，占村域面积95.53%。其中林地，用地面积2059.85公顷，占村域面积73.49%；耕地，用地面积512.7公顷，占村域面积18.29%；园地面积66.92公顷，占村域面积2.39%；草地面积28.86公顷，占村域面积1.03%；农业和设施建设用地9.22公顷，占村域面积0.33%。</w:t>
      </w:r>
    </w:p>
    <w:p w14:paraId="011ACC7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建设用地61.56公顷，占村域面积2.20%。其中村庄建设用地，用地面积45.49公顷，占村域面积1.63%；区域基础设施用地，用地面积12.99公顷，占村域面积0.46%；城镇建设用地面积0.38公顷，占村域面积0.01%；其他建设用地2.40公顷，占村域面积0.09%。</w:t>
      </w:r>
    </w:p>
    <w:p w14:paraId="20F5B1D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其他用地63.91公顷，占村域面积2.29%。其中陆地水域53.55公顷，占村域面积1.91%；其他土地10.36公顷，占村域面积0.37%。（详见下表）</w:t>
      </w:r>
    </w:p>
    <w:p w14:paraId="4663362C">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7916B4E9">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2F3A606C">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5628D7CE">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5DFE5555">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083BC87A">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69B22F86">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0669CD5E">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36FB8CD9">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03E91670">
      <w:pPr>
        <w:autoSpaceDE/>
        <w:autoSpaceDN/>
        <w:spacing w:line="560" w:lineRule="exact"/>
        <w:ind w:firstLine="440" w:firstLineChars="200"/>
        <w:jc w:val="both"/>
        <w:rPr>
          <w:rFonts w:ascii="仿宋" w:hAnsi="仿宋" w:eastAsia="仿宋" w:cstheme="minorBidi"/>
          <w:color w:val="000000" w:themeColor="text1"/>
          <w:kern w:val="2"/>
          <w:lang w:val="en-US" w:bidi="ar-SA"/>
        </w:rPr>
      </w:pPr>
    </w:p>
    <w:p w14:paraId="3018AEFC">
      <w:pPr>
        <w:autoSpaceDE/>
        <w:autoSpaceDN/>
        <w:spacing w:line="560" w:lineRule="exact"/>
        <w:jc w:val="both"/>
        <w:rPr>
          <w:rFonts w:ascii="仿宋" w:hAnsi="仿宋" w:eastAsia="仿宋" w:cstheme="minorBidi"/>
          <w:color w:val="000000" w:themeColor="text1"/>
          <w:kern w:val="2"/>
          <w:lang w:val="en-US" w:bidi="ar-SA"/>
        </w:rPr>
      </w:pPr>
    </w:p>
    <w:p w14:paraId="624BF8E7">
      <w:pPr>
        <w:pageBreakBefore/>
        <w:ind w:left="289"/>
        <w:jc w:val="center"/>
        <w:rPr>
          <w:rFonts w:ascii="仿宋" w:hAnsi="仿宋"/>
          <w:b/>
          <w:color w:val="000000" w:themeColor="text1"/>
          <w:sz w:val="28"/>
          <w:szCs w:val="28"/>
        </w:rPr>
      </w:pPr>
      <w:r>
        <w:rPr>
          <w:rFonts w:hint="eastAsia" w:ascii="仿宋" w:hAnsi="仿宋"/>
          <w:b/>
          <w:color w:val="000000" w:themeColor="text1"/>
          <w:sz w:val="28"/>
          <w:szCs w:val="28"/>
        </w:rPr>
        <w:t>国土空间用途结构调整表</w:t>
      </w:r>
    </w:p>
    <w:tbl>
      <w:tblPr>
        <w:tblStyle w:val="17"/>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65"/>
        <w:gridCol w:w="2268"/>
        <w:gridCol w:w="1247"/>
        <w:gridCol w:w="1134"/>
        <w:gridCol w:w="1247"/>
        <w:gridCol w:w="1134"/>
        <w:gridCol w:w="1247"/>
      </w:tblGrid>
      <w:tr w14:paraId="34A7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vMerge w:val="restart"/>
            <w:tcMar>
              <w:left w:w="57" w:type="dxa"/>
              <w:right w:w="57" w:type="dxa"/>
            </w:tcMar>
            <w:vAlign w:val="center"/>
          </w:tcPr>
          <w:p w14:paraId="06C655FA">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用地分类</w:t>
            </w:r>
          </w:p>
        </w:tc>
        <w:tc>
          <w:tcPr>
            <w:tcW w:w="2381" w:type="dxa"/>
            <w:gridSpan w:val="2"/>
            <w:tcMar>
              <w:left w:w="57" w:type="dxa"/>
              <w:right w:w="57" w:type="dxa"/>
            </w:tcMar>
            <w:vAlign w:val="center"/>
          </w:tcPr>
          <w:p w14:paraId="5131E2FB">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规划基期年</w:t>
            </w:r>
          </w:p>
        </w:tc>
        <w:tc>
          <w:tcPr>
            <w:tcW w:w="2381" w:type="dxa"/>
            <w:gridSpan w:val="2"/>
            <w:tcMar>
              <w:left w:w="57" w:type="dxa"/>
              <w:right w:w="57" w:type="dxa"/>
            </w:tcMar>
            <w:vAlign w:val="center"/>
          </w:tcPr>
          <w:p w14:paraId="01AD640C">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规划目标年</w:t>
            </w:r>
          </w:p>
        </w:tc>
        <w:tc>
          <w:tcPr>
            <w:tcW w:w="1247" w:type="dxa"/>
            <w:vMerge w:val="restart"/>
            <w:tcMar>
              <w:left w:w="57" w:type="dxa"/>
              <w:right w:w="57" w:type="dxa"/>
            </w:tcMar>
            <w:vAlign w:val="center"/>
          </w:tcPr>
          <w:p w14:paraId="6B09EEDD">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规划期内面积增减</w:t>
            </w:r>
          </w:p>
        </w:tc>
      </w:tr>
      <w:tr w14:paraId="31FB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vMerge w:val="continue"/>
            <w:tcMar>
              <w:left w:w="57" w:type="dxa"/>
              <w:right w:w="57" w:type="dxa"/>
            </w:tcMar>
            <w:vAlign w:val="center"/>
          </w:tcPr>
          <w:p w14:paraId="5607D5C8">
            <w:pPr>
              <w:jc w:val="center"/>
              <w:rPr>
                <w:rFonts w:ascii="仿宋" w:hAnsi="仿宋"/>
                <w:b/>
                <w:color w:val="000000" w:themeColor="text1"/>
                <w:sz w:val="28"/>
                <w:szCs w:val="28"/>
              </w:rPr>
            </w:pPr>
          </w:p>
        </w:tc>
        <w:tc>
          <w:tcPr>
            <w:tcW w:w="1247" w:type="dxa"/>
            <w:tcMar>
              <w:left w:w="57" w:type="dxa"/>
              <w:right w:w="57" w:type="dxa"/>
            </w:tcMar>
            <w:vAlign w:val="center"/>
          </w:tcPr>
          <w:p w14:paraId="66FBE38D">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面积</w:t>
            </w:r>
          </w:p>
          <w:p w14:paraId="1B1CF9DE">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（公顷）</w:t>
            </w:r>
          </w:p>
        </w:tc>
        <w:tc>
          <w:tcPr>
            <w:tcW w:w="1134" w:type="dxa"/>
            <w:tcMar>
              <w:left w:w="57" w:type="dxa"/>
              <w:right w:w="57" w:type="dxa"/>
            </w:tcMar>
            <w:vAlign w:val="center"/>
          </w:tcPr>
          <w:p w14:paraId="16C5680D">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比重（</w:t>
            </w:r>
            <w:r>
              <w:rPr>
                <w:rFonts w:ascii="仿宋" w:hAnsi="仿宋" w:eastAsia="仿宋"/>
                <w:b/>
                <w:color w:val="000000" w:themeColor="text1"/>
                <w:sz w:val="24"/>
                <w:szCs w:val="24"/>
              </w:rPr>
              <w:t>%</w:t>
            </w:r>
            <w:r>
              <w:rPr>
                <w:rFonts w:hint="eastAsia" w:ascii="仿宋" w:hAnsi="仿宋" w:eastAsia="仿宋"/>
                <w:b/>
                <w:color w:val="000000" w:themeColor="text1"/>
                <w:sz w:val="24"/>
                <w:szCs w:val="24"/>
              </w:rPr>
              <w:t>）</w:t>
            </w:r>
          </w:p>
        </w:tc>
        <w:tc>
          <w:tcPr>
            <w:tcW w:w="1247" w:type="dxa"/>
            <w:tcMar>
              <w:left w:w="57" w:type="dxa"/>
              <w:right w:w="57" w:type="dxa"/>
            </w:tcMar>
            <w:vAlign w:val="center"/>
          </w:tcPr>
          <w:p w14:paraId="59692EBE">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面积</w:t>
            </w:r>
          </w:p>
          <w:p w14:paraId="385A3AEC">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（公顷）</w:t>
            </w:r>
          </w:p>
        </w:tc>
        <w:tc>
          <w:tcPr>
            <w:tcW w:w="1134" w:type="dxa"/>
            <w:tcMar>
              <w:left w:w="57" w:type="dxa"/>
              <w:right w:w="57" w:type="dxa"/>
            </w:tcMar>
            <w:vAlign w:val="center"/>
          </w:tcPr>
          <w:p w14:paraId="3CE67C64">
            <w:pPr>
              <w:pStyle w:val="8"/>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比重（</w:t>
            </w:r>
            <w:r>
              <w:rPr>
                <w:rFonts w:ascii="仿宋" w:hAnsi="仿宋" w:eastAsia="仿宋"/>
                <w:b/>
                <w:color w:val="000000" w:themeColor="text1"/>
                <w:sz w:val="24"/>
                <w:szCs w:val="24"/>
              </w:rPr>
              <w:t>%</w:t>
            </w:r>
            <w:r>
              <w:rPr>
                <w:rFonts w:hint="eastAsia" w:ascii="仿宋" w:hAnsi="仿宋" w:eastAsia="仿宋"/>
                <w:b/>
                <w:color w:val="000000" w:themeColor="text1"/>
                <w:sz w:val="24"/>
                <w:szCs w:val="24"/>
              </w:rPr>
              <w:t>）</w:t>
            </w:r>
          </w:p>
        </w:tc>
        <w:tc>
          <w:tcPr>
            <w:tcW w:w="1247" w:type="dxa"/>
            <w:vMerge w:val="continue"/>
            <w:tcMar>
              <w:left w:w="57" w:type="dxa"/>
              <w:right w:w="57" w:type="dxa"/>
            </w:tcMar>
            <w:vAlign w:val="center"/>
          </w:tcPr>
          <w:p w14:paraId="5410D7AE">
            <w:pPr>
              <w:jc w:val="center"/>
              <w:rPr>
                <w:rFonts w:ascii="仿宋" w:hAnsi="仿宋"/>
                <w:b/>
                <w:color w:val="000000" w:themeColor="text1"/>
                <w:sz w:val="28"/>
                <w:szCs w:val="28"/>
              </w:rPr>
            </w:pPr>
          </w:p>
        </w:tc>
      </w:tr>
      <w:tr w14:paraId="218A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69B683CE">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耕地</w:t>
            </w:r>
          </w:p>
        </w:tc>
        <w:tc>
          <w:tcPr>
            <w:tcW w:w="1247" w:type="dxa"/>
            <w:tcMar>
              <w:left w:w="57" w:type="dxa"/>
              <w:right w:w="57" w:type="dxa"/>
            </w:tcMar>
            <w:vAlign w:val="center"/>
          </w:tcPr>
          <w:p w14:paraId="3E048872">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511.51</w:t>
            </w:r>
          </w:p>
        </w:tc>
        <w:tc>
          <w:tcPr>
            <w:tcW w:w="1134" w:type="dxa"/>
            <w:tcMar>
              <w:left w:w="57" w:type="dxa"/>
              <w:right w:w="57" w:type="dxa"/>
            </w:tcMar>
            <w:vAlign w:val="center"/>
          </w:tcPr>
          <w:p w14:paraId="1F7F4DEC">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18.25</w:t>
            </w:r>
          </w:p>
        </w:tc>
        <w:tc>
          <w:tcPr>
            <w:tcW w:w="1247" w:type="dxa"/>
            <w:tcMar>
              <w:left w:w="57" w:type="dxa"/>
              <w:right w:w="57" w:type="dxa"/>
            </w:tcMar>
            <w:vAlign w:val="center"/>
          </w:tcPr>
          <w:p w14:paraId="2845BC0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512.7</w:t>
            </w:r>
          </w:p>
        </w:tc>
        <w:tc>
          <w:tcPr>
            <w:tcW w:w="1134" w:type="dxa"/>
            <w:tcMar>
              <w:left w:w="57" w:type="dxa"/>
              <w:right w:w="57" w:type="dxa"/>
            </w:tcMar>
            <w:vAlign w:val="center"/>
          </w:tcPr>
          <w:p w14:paraId="394F2063">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8.29</w:t>
            </w:r>
          </w:p>
        </w:tc>
        <w:tc>
          <w:tcPr>
            <w:tcW w:w="1247" w:type="dxa"/>
            <w:tcMar>
              <w:left w:w="57" w:type="dxa"/>
              <w:right w:w="57" w:type="dxa"/>
            </w:tcMar>
            <w:vAlign w:val="center"/>
          </w:tcPr>
          <w:p w14:paraId="4D3B9BD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1.19</w:t>
            </w:r>
          </w:p>
        </w:tc>
      </w:tr>
      <w:tr w14:paraId="4987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2D7DFE7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园地</w:t>
            </w:r>
          </w:p>
        </w:tc>
        <w:tc>
          <w:tcPr>
            <w:tcW w:w="1247" w:type="dxa"/>
            <w:tcMar>
              <w:left w:w="57" w:type="dxa"/>
              <w:right w:w="57" w:type="dxa"/>
            </w:tcMar>
            <w:vAlign w:val="center"/>
          </w:tcPr>
          <w:p w14:paraId="1171EE8F">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6</w:t>
            </w:r>
            <w:r>
              <w:rPr>
                <w:rFonts w:ascii="仿宋" w:hAnsi="仿宋" w:eastAsia="仿宋"/>
                <w:color w:val="000000" w:themeColor="text1"/>
                <w:sz w:val="24"/>
                <w:szCs w:val="24"/>
              </w:rPr>
              <w:t>6.73</w:t>
            </w:r>
          </w:p>
        </w:tc>
        <w:tc>
          <w:tcPr>
            <w:tcW w:w="1134" w:type="dxa"/>
            <w:tcMar>
              <w:left w:w="57" w:type="dxa"/>
              <w:right w:w="57" w:type="dxa"/>
            </w:tcMar>
            <w:vAlign w:val="center"/>
          </w:tcPr>
          <w:p w14:paraId="6E4A6DE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.38</w:t>
            </w:r>
          </w:p>
        </w:tc>
        <w:tc>
          <w:tcPr>
            <w:tcW w:w="1247" w:type="dxa"/>
            <w:tcMar>
              <w:left w:w="57" w:type="dxa"/>
              <w:right w:w="57" w:type="dxa"/>
            </w:tcMar>
            <w:vAlign w:val="center"/>
          </w:tcPr>
          <w:p w14:paraId="3528D67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6</w:t>
            </w:r>
            <w:r>
              <w:rPr>
                <w:rFonts w:ascii="仿宋" w:hAnsi="仿宋" w:eastAsia="仿宋"/>
                <w:color w:val="000000" w:themeColor="text1"/>
                <w:sz w:val="24"/>
                <w:szCs w:val="24"/>
              </w:rPr>
              <w:t>6.92</w:t>
            </w:r>
          </w:p>
        </w:tc>
        <w:tc>
          <w:tcPr>
            <w:tcW w:w="1134" w:type="dxa"/>
            <w:tcMar>
              <w:left w:w="57" w:type="dxa"/>
              <w:right w:w="57" w:type="dxa"/>
            </w:tcMar>
            <w:vAlign w:val="center"/>
          </w:tcPr>
          <w:p w14:paraId="578DAD2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.39</w:t>
            </w:r>
          </w:p>
        </w:tc>
        <w:tc>
          <w:tcPr>
            <w:tcW w:w="1247" w:type="dxa"/>
            <w:tcMar>
              <w:left w:w="57" w:type="dxa"/>
              <w:right w:w="57" w:type="dxa"/>
            </w:tcMar>
            <w:vAlign w:val="center"/>
          </w:tcPr>
          <w:p w14:paraId="079FB3B6">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.19</w:t>
            </w:r>
          </w:p>
        </w:tc>
      </w:tr>
      <w:tr w14:paraId="0023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06320C2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林地</w:t>
            </w:r>
          </w:p>
        </w:tc>
        <w:tc>
          <w:tcPr>
            <w:tcW w:w="1247" w:type="dxa"/>
            <w:tcMar>
              <w:left w:w="57" w:type="dxa"/>
              <w:right w:w="57" w:type="dxa"/>
            </w:tcMar>
            <w:vAlign w:val="center"/>
          </w:tcPr>
          <w:p w14:paraId="5BFEEBB9">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2061.71</w:t>
            </w:r>
          </w:p>
        </w:tc>
        <w:tc>
          <w:tcPr>
            <w:tcW w:w="1134" w:type="dxa"/>
            <w:tcMar>
              <w:left w:w="57" w:type="dxa"/>
              <w:right w:w="57" w:type="dxa"/>
            </w:tcMar>
            <w:vAlign w:val="center"/>
          </w:tcPr>
          <w:p w14:paraId="1BF8F196">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73.55</w:t>
            </w:r>
          </w:p>
        </w:tc>
        <w:tc>
          <w:tcPr>
            <w:tcW w:w="1247" w:type="dxa"/>
            <w:tcMar>
              <w:left w:w="57" w:type="dxa"/>
              <w:right w:w="57" w:type="dxa"/>
            </w:tcMar>
            <w:vAlign w:val="center"/>
          </w:tcPr>
          <w:p w14:paraId="408A225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2059.85</w:t>
            </w:r>
          </w:p>
        </w:tc>
        <w:tc>
          <w:tcPr>
            <w:tcW w:w="1134" w:type="dxa"/>
            <w:tcMar>
              <w:left w:w="57" w:type="dxa"/>
              <w:right w:w="57" w:type="dxa"/>
            </w:tcMar>
            <w:vAlign w:val="center"/>
          </w:tcPr>
          <w:p w14:paraId="06AE0B26">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7</w:t>
            </w:r>
            <w:r>
              <w:rPr>
                <w:rFonts w:ascii="仿宋" w:hAnsi="仿宋" w:eastAsia="仿宋"/>
                <w:color w:val="000000" w:themeColor="text1"/>
                <w:sz w:val="24"/>
                <w:szCs w:val="24"/>
              </w:rPr>
              <w:t>3.49</w:t>
            </w:r>
          </w:p>
        </w:tc>
        <w:tc>
          <w:tcPr>
            <w:tcW w:w="1247" w:type="dxa"/>
            <w:tcMar>
              <w:left w:w="57" w:type="dxa"/>
              <w:right w:w="57" w:type="dxa"/>
            </w:tcMar>
            <w:vAlign w:val="center"/>
          </w:tcPr>
          <w:p w14:paraId="2A3494E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-1.86</w:t>
            </w:r>
          </w:p>
        </w:tc>
      </w:tr>
      <w:tr w14:paraId="757D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5596368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草地</w:t>
            </w:r>
          </w:p>
        </w:tc>
        <w:tc>
          <w:tcPr>
            <w:tcW w:w="1247" w:type="dxa"/>
            <w:tcMar>
              <w:left w:w="57" w:type="dxa"/>
              <w:right w:w="57" w:type="dxa"/>
            </w:tcMar>
            <w:vAlign w:val="center"/>
          </w:tcPr>
          <w:p w14:paraId="61A9346F">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29.12</w:t>
            </w:r>
          </w:p>
        </w:tc>
        <w:tc>
          <w:tcPr>
            <w:tcW w:w="1134" w:type="dxa"/>
            <w:tcMar>
              <w:left w:w="57" w:type="dxa"/>
              <w:right w:w="57" w:type="dxa"/>
            </w:tcMar>
            <w:vAlign w:val="center"/>
          </w:tcPr>
          <w:p w14:paraId="23D572A7">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1.04</w:t>
            </w:r>
          </w:p>
        </w:tc>
        <w:tc>
          <w:tcPr>
            <w:tcW w:w="1247" w:type="dxa"/>
            <w:tcMar>
              <w:left w:w="57" w:type="dxa"/>
              <w:right w:w="57" w:type="dxa"/>
            </w:tcMar>
            <w:vAlign w:val="center"/>
          </w:tcPr>
          <w:p w14:paraId="62DA5E0D">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28.86</w:t>
            </w:r>
          </w:p>
        </w:tc>
        <w:tc>
          <w:tcPr>
            <w:tcW w:w="1134" w:type="dxa"/>
            <w:tcMar>
              <w:left w:w="57" w:type="dxa"/>
              <w:right w:w="57" w:type="dxa"/>
            </w:tcMar>
            <w:vAlign w:val="center"/>
          </w:tcPr>
          <w:p w14:paraId="24292ABA">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.03</w:t>
            </w:r>
          </w:p>
        </w:tc>
        <w:tc>
          <w:tcPr>
            <w:tcW w:w="1247" w:type="dxa"/>
            <w:tcMar>
              <w:left w:w="57" w:type="dxa"/>
              <w:right w:w="57" w:type="dxa"/>
            </w:tcMar>
            <w:vAlign w:val="center"/>
          </w:tcPr>
          <w:p w14:paraId="12EAB86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-0.26</w:t>
            </w:r>
          </w:p>
        </w:tc>
      </w:tr>
      <w:tr w14:paraId="3223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47F77304">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农业设施建设用地</w:t>
            </w:r>
          </w:p>
        </w:tc>
        <w:tc>
          <w:tcPr>
            <w:tcW w:w="1247" w:type="dxa"/>
            <w:tcMar>
              <w:left w:w="57" w:type="dxa"/>
              <w:right w:w="57" w:type="dxa"/>
            </w:tcMar>
            <w:vAlign w:val="center"/>
          </w:tcPr>
          <w:p w14:paraId="7CFA121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9.22</w:t>
            </w:r>
          </w:p>
        </w:tc>
        <w:tc>
          <w:tcPr>
            <w:tcW w:w="1134" w:type="dxa"/>
            <w:tcMar>
              <w:left w:w="57" w:type="dxa"/>
              <w:right w:w="57" w:type="dxa"/>
            </w:tcMar>
            <w:vAlign w:val="center"/>
          </w:tcPr>
          <w:p w14:paraId="69420713">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0.33</w:t>
            </w:r>
          </w:p>
        </w:tc>
        <w:tc>
          <w:tcPr>
            <w:tcW w:w="1247" w:type="dxa"/>
            <w:tcMar>
              <w:left w:w="57" w:type="dxa"/>
              <w:right w:w="57" w:type="dxa"/>
            </w:tcMar>
            <w:vAlign w:val="center"/>
          </w:tcPr>
          <w:p w14:paraId="2DE50C2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9.22</w:t>
            </w:r>
          </w:p>
        </w:tc>
        <w:tc>
          <w:tcPr>
            <w:tcW w:w="1134" w:type="dxa"/>
            <w:tcMar>
              <w:left w:w="57" w:type="dxa"/>
              <w:right w:w="57" w:type="dxa"/>
            </w:tcMar>
            <w:vAlign w:val="center"/>
          </w:tcPr>
          <w:p w14:paraId="43F2F21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.33</w:t>
            </w:r>
          </w:p>
        </w:tc>
        <w:tc>
          <w:tcPr>
            <w:tcW w:w="1247" w:type="dxa"/>
            <w:tcMar>
              <w:left w:w="57" w:type="dxa"/>
              <w:right w:w="57" w:type="dxa"/>
            </w:tcMar>
            <w:vAlign w:val="center"/>
          </w:tcPr>
          <w:p w14:paraId="35BBC3A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5256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restart"/>
            <w:tcMar>
              <w:left w:w="57" w:type="dxa"/>
              <w:right w:w="57" w:type="dxa"/>
            </w:tcMar>
            <w:vAlign w:val="center"/>
          </w:tcPr>
          <w:p w14:paraId="173ABEDB">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建设用地</w:t>
            </w:r>
          </w:p>
        </w:tc>
        <w:tc>
          <w:tcPr>
            <w:tcW w:w="3033" w:type="dxa"/>
            <w:gridSpan w:val="2"/>
            <w:tcMar>
              <w:left w:w="57" w:type="dxa"/>
              <w:right w:w="57" w:type="dxa"/>
            </w:tcMar>
            <w:vAlign w:val="center"/>
          </w:tcPr>
          <w:p w14:paraId="29CEFAC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城镇建设用地</w:t>
            </w:r>
          </w:p>
        </w:tc>
        <w:tc>
          <w:tcPr>
            <w:tcW w:w="1247" w:type="dxa"/>
            <w:tcMar>
              <w:left w:w="57" w:type="dxa"/>
              <w:right w:w="57" w:type="dxa"/>
            </w:tcMar>
            <w:vAlign w:val="center"/>
          </w:tcPr>
          <w:p w14:paraId="57AD1B49">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0.38</w:t>
            </w:r>
          </w:p>
        </w:tc>
        <w:tc>
          <w:tcPr>
            <w:tcW w:w="1134" w:type="dxa"/>
            <w:tcMar>
              <w:left w:w="57" w:type="dxa"/>
              <w:right w:w="57" w:type="dxa"/>
            </w:tcMar>
            <w:vAlign w:val="center"/>
          </w:tcPr>
          <w:p w14:paraId="6BF97ED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0.01</w:t>
            </w:r>
          </w:p>
        </w:tc>
        <w:tc>
          <w:tcPr>
            <w:tcW w:w="1247" w:type="dxa"/>
            <w:tcMar>
              <w:left w:w="57" w:type="dxa"/>
              <w:right w:w="57" w:type="dxa"/>
            </w:tcMar>
            <w:vAlign w:val="center"/>
          </w:tcPr>
          <w:p w14:paraId="288E3C9E">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0.38</w:t>
            </w:r>
          </w:p>
        </w:tc>
        <w:tc>
          <w:tcPr>
            <w:tcW w:w="1134" w:type="dxa"/>
            <w:tcMar>
              <w:left w:w="57" w:type="dxa"/>
              <w:right w:w="57" w:type="dxa"/>
            </w:tcMar>
            <w:vAlign w:val="center"/>
          </w:tcPr>
          <w:p w14:paraId="770D8C5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.01</w:t>
            </w:r>
          </w:p>
        </w:tc>
        <w:tc>
          <w:tcPr>
            <w:tcW w:w="1247" w:type="dxa"/>
            <w:tcMar>
              <w:left w:w="57" w:type="dxa"/>
              <w:right w:w="57" w:type="dxa"/>
            </w:tcMar>
            <w:vAlign w:val="center"/>
          </w:tcPr>
          <w:p w14:paraId="400B2E0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17BE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2024A394">
            <w:pPr>
              <w:pStyle w:val="8"/>
              <w:jc w:val="center"/>
              <w:rPr>
                <w:rFonts w:ascii="仿宋" w:hAnsi="仿宋" w:eastAsia="仿宋"/>
                <w:color w:val="000000" w:themeColor="text1"/>
                <w:sz w:val="24"/>
                <w:szCs w:val="24"/>
              </w:rPr>
            </w:pPr>
          </w:p>
        </w:tc>
        <w:tc>
          <w:tcPr>
            <w:tcW w:w="765" w:type="dxa"/>
            <w:vMerge w:val="restart"/>
            <w:tcMar>
              <w:left w:w="57" w:type="dxa"/>
              <w:right w:w="57" w:type="dxa"/>
            </w:tcMar>
            <w:vAlign w:val="center"/>
          </w:tcPr>
          <w:p w14:paraId="7F5DC841">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村庄建设用地</w:t>
            </w:r>
          </w:p>
        </w:tc>
        <w:tc>
          <w:tcPr>
            <w:tcW w:w="2268" w:type="dxa"/>
            <w:tcMar>
              <w:left w:w="57" w:type="dxa"/>
              <w:right w:w="57" w:type="dxa"/>
            </w:tcMar>
            <w:vAlign w:val="center"/>
          </w:tcPr>
          <w:p w14:paraId="1B4CAFA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农村宅基地</w:t>
            </w:r>
          </w:p>
        </w:tc>
        <w:tc>
          <w:tcPr>
            <w:tcW w:w="1247" w:type="dxa"/>
            <w:tcMar>
              <w:left w:w="57" w:type="dxa"/>
              <w:right w:w="57" w:type="dxa"/>
            </w:tcMar>
            <w:vAlign w:val="center"/>
          </w:tcPr>
          <w:p w14:paraId="31D93C7C">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39.13</w:t>
            </w:r>
          </w:p>
        </w:tc>
        <w:tc>
          <w:tcPr>
            <w:tcW w:w="1134" w:type="dxa"/>
            <w:tcMar>
              <w:left w:w="57" w:type="dxa"/>
              <w:right w:w="57" w:type="dxa"/>
            </w:tcMar>
            <w:vAlign w:val="center"/>
          </w:tcPr>
          <w:p w14:paraId="7F46607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1.40</w:t>
            </w:r>
          </w:p>
        </w:tc>
        <w:tc>
          <w:tcPr>
            <w:tcW w:w="1247" w:type="dxa"/>
            <w:tcMar>
              <w:left w:w="57" w:type="dxa"/>
              <w:right w:w="57" w:type="dxa"/>
            </w:tcMar>
            <w:vAlign w:val="center"/>
          </w:tcPr>
          <w:p w14:paraId="48475F5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36.79</w:t>
            </w:r>
          </w:p>
        </w:tc>
        <w:tc>
          <w:tcPr>
            <w:tcW w:w="1134" w:type="dxa"/>
            <w:tcMar>
              <w:left w:w="57" w:type="dxa"/>
              <w:right w:w="57" w:type="dxa"/>
            </w:tcMar>
            <w:vAlign w:val="center"/>
          </w:tcPr>
          <w:p w14:paraId="2A36A14E">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.31</w:t>
            </w:r>
          </w:p>
        </w:tc>
        <w:tc>
          <w:tcPr>
            <w:tcW w:w="1247" w:type="dxa"/>
            <w:tcMar>
              <w:left w:w="57" w:type="dxa"/>
              <w:right w:w="57" w:type="dxa"/>
            </w:tcMar>
            <w:vAlign w:val="center"/>
          </w:tcPr>
          <w:p w14:paraId="1F9A229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-2.34</w:t>
            </w:r>
          </w:p>
        </w:tc>
      </w:tr>
      <w:tr w14:paraId="3E03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40B0EBFE">
            <w:pPr>
              <w:pStyle w:val="8"/>
              <w:jc w:val="center"/>
              <w:rPr>
                <w:rFonts w:ascii="仿宋" w:hAnsi="仿宋" w:eastAsia="仿宋"/>
                <w:color w:val="000000" w:themeColor="text1"/>
                <w:sz w:val="24"/>
                <w:szCs w:val="24"/>
              </w:rPr>
            </w:pPr>
          </w:p>
        </w:tc>
        <w:tc>
          <w:tcPr>
            <w:tcW w:w="765" w:type="dxa"/>
            <w:vMerge w:val="continue"/>
            <w:tcMar>
              <w:left w:w="57" w:type="dxa"/>
              <w:right w:w="57" w:type="dxa"/>
            </w:tcMar>
            <w:vAlign w:val="center"/>
          </w:tcPr>
          <w:p w14:paraId="6E32A58D">
            <w:pPr>
              <w:pStyle w:val="8"/>
              <w:jc w:val="center"/>
              <w:rPr>
                <w:rFonts w:ascii="仿宋" w:hAnsi="仿宋" w:eastAsia="仿宋"/>
                <w:color w:val="000000" w:themeColor="text1"/>
                <w:sz w:val="24"/>
                <w:szCs w:val="24"/>
              </w:rPr>
            </w:pPr>
          </w:p>
        </w:tc>
        <w:tc>
          <w:tcPr>
            <w:tcW w:w="2268" w:type="dxa"/>
            <w:tcMar>
              <w:left w:w="57" w:type="dxa"/>
              <w:right w:w="57" w:type="dxa"/>
            </w:tcMar>
            <w:vAlign w:val="center"/>
          </w:tcPr>
          <w:p w14:paraId="07884604">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公共管理与公共服务用地</w:t>
            </w:r>
          </w:p>
        </w:tc>
        <w:tc>
          <w:tcPr>
            <w:tcW w:w="1247" w:type="dxa"/>
            <w:tcMar>
              <w:left w:w="57" w:type="dxa"/>
              <w:right w:w="57" w:type="dxa"/>
            </w:tcMar>
            <w:vAlign w:val="center"/>
          </w:tcPr>
          <w:p w14:paraId="072D00C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0.81</w:t>
            </w:r>
          </w:p>
        </w:tc>
        <w:tc>
          <w:tcPr>
            <w:tcW w:w="1134" w:type="dxa"/>
            <w:tcMar>
              <w:left w:w="57" w:type="dxa"/>
              <w:right w:w="57" w:type="dxa"/>
            </w:tcMar>
            <w:vAlign w:val="center"/>
          </w:tcPr>
          <w:p w14:paraId="70BAEECD">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0.03</w:t>
            </w:r>
          </w:p>
        </w:tc>
        <w:tc>
          <w:tcPr>
            <w:tcW w:w="1247" w:type="dxa"/>
            <w:tcMar>
              <w:left w:w="57" w:type="dxa"/>
              <w:right w:w="57" w:type="dxa"/>
            </w:tcMar>
            <w:vAlign w:val="center"/>
          </w:tcPr>
          <w:p w14:paraId="2A20CACC">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0.75</w:t>
            </w:r>
          </w:p>
        </w:tc>
        <w:tc>
          <w:tcPr>
            <w:tcW w:w="1134" w:type="dxa"/>
            <w:tcMar>
              <w:left w:w="57" w:type="dxa"/>
              <w:right w:w="57" w:type="dxa"/>
            </w:tcMar>
            <w:vAlign w:val="center"/>
          </w:tcPr>
          <w:p w14:paraId="661EBCD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.03</w:t>
            </w:r>
          </w:p>
        </w:tc>
        <w:tc>
          <w:tcPr>
            <w:tcW w:w="1247" w:type="dxa"/>
            <w:tcMar>
              <w:left w:w="57" w:type="dxa"/>
              <w:right w:w="57" w:type="dxa"/>
            </w:tcMar>
            <w:vAlign w:val="center"/>
          </w:tcPr>
          <w:p w14:paraId="4BC50B89">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-0.06</w:t>
            </w:r>
          </w:p>
        </w:tc>
      </w:tr>
      <w:tr w14:paraId="2DBD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1270AE50">
            <w:pPr>
              <w:pStyle w:val="8"/>
              <w:jc w:val="center"/>
              <w:rPr>
                <w:rFonts w:ascii="仿宋" w:hAnsi="仿宋" w:eastAsia="仿宋"/>
                <w:color w:val="000000" w:themeColor="text1"/>
                <w:sz w:val="24"/>
                <w:szCs w:val="24"/>
              </w:rPr>
            </w:pPr>
          </w:p>
        </w:tc>
        <w:tc>
          <w:tcPr>
            <w:tcW w:w="765" w:type="dxa"/>
            <w:vMerge w:val="continue"/>
            <w:tcMar>
              <w:left w:w="57" w:type="dxa"/>
              <w:right w:w="57" w:type="dxa"/>
            </w:tcMar>
            <w:vAlign w:val="center"/>
          </w:tcPr>
          <w:p w14:paraId="307D1EBA">
            <w:pPr>
              <w:pStyle w:val="8"/>
              <w:jc w:val="center"/>
              <w:rPr>
                <w:rFonts w:ascii="仿宋" w:hAnsi="仿宋" w:eastAsia="仿宋"/>
                <w:color w:val="000000" w:themeColor="text1"/>
                <w:sz w:val="24"/>
                <w:szCs w:val="24"/>
              </w:rPr>
            </w:pPr>
          </w:p>
        </w:tc>
        <w:tc>
          <w:tcPr>
            <w:tcW w:w="2268" w:type="dxa"/>
            <w:tcMar>
              <w:left w:w="57" w:type="dxa"/>
              <w:right w:w="57" w:type="dxa"/>
            </w:tcMar>
            <w:vAlign w:val="center"/>
          </w:tcPr>
          <w:p w14:paraId="68E651C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商业服务用地</w:t>
            </w:r>
          </w:p>
        </w:tc>
        <w:tc>
          <w:tcPr>
            <w:tcW w:w="1247" w:type="dxa"/>
            <w:tcMar>
              <w:left w:w="57" w:type="dxa"/>
              <w:right w:w="57" w:type="dxa"/>
            </w:tcMar>
            <w:vAlign w:val="center"/>
          </w:tcPr>
          <w:p w14:paraId="297763E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0.92</w:t>
            </w:r>
          </w:p>
        </w:tc>
        <w:tc>
          <w:tcPr>
            <w:tcW w:w="1134" w:type="dxa"/>
            <w:tcMar>
              <w:left w:w="57" w:type="dxa"/>
              <w:right w:w="57" w:type="dxa"/>
            </w:tcMar>
            <w:vAlign w:val="center"/>
          </w:tcPr>
          <w:p w14:paraId="6E84BC8A">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0.03</w:t>
            </w:r>
          </w:p>
        </w:tc>
        <w:tc>
          <w:tcPr>
            <w:tcW w:w="1247" w:type="dxa"/>
            <w:tcMar>
              <w:left w:w="57" w:type="dxa"/>
              <w:right w:w="57" w:type="dxa"/>
            </w:tcMar>
            <w:vAlign w:val="center"/>
          </w:tcPr>
          <w:p w14:paraId="2114A1C7">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3.28</w:t>
            </w:r>
          </w:p>
        </w:tc>
        <w:tc>
          <w:tcPr>
            <w:tcW w:w="1134" w:type="dxa"/>
            <w:tcMar>
              <w:left w:w="57" w:type="dxa"/>
              <w:right w:w="57" w:type="dxa"/>
            </w:tcMar>
            <w:vAlign w:val="center"/>
          </w:tcPr>
          <w:p w14:paraId="552D570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.12</w:t>
            </w:r>
          </w:p>
        </w:tc>
        <w:tc>
          <w:tcPr>
            <w:tcW w:w="1247" w:type="dxa"/>
            <w:tcMar>
              <w:left w:w="57" w:type="dxa"/>
              <w:right w:w="57" w:type="dxa"/>
            </w:tcMar>
            <w:vAlign w:val="center"/>
          </w:tcPr>
          <w:p w14:paraId="3118404F">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2.36</w:t>
            </w:r>
          </w:p>
        </w:tc>
      </w:tr>
      <w:tr w14:paraId="0E99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7CC39004">
            <w:pPr>
              <w:pStyle w:val="8"/>
              <w:jc w:val="center"/>
              <w:rPr>
                <w:rFonts w:ascii="仿宋" w:hAnsi="仿宋" w:eastAsia="仿宋"/>
                <w:color w:val="000000" w:themeColor="text1"/>
                <w:sz w:val="24"/>
                <w:szCs w:val="24"/>
              </w:rPr>
            </w:pPr>
          </w:p>
        </w:tc>
        <w:tc>
          <w:tcPr>
            <w:tcW w:w="765" w:type="dxa"/>
            <w:vMerge w:val="continue"/>
            <w:tcMar>
              <w:left w:w="57" w:type="dxa"/>
              <w:right w:w="57" w:type="dxa"/>
            </w:tcMar>
            <w:vAlign w:val="center"/>
          </w:tcPr>
          <w:p w14:paraId="22038C36">
            <w:pPr>
              <w:pStyle w:val="8"/>
              <w:jc w:val="center"/>
              <w:rPr>
                <w:rFonts w:ascii="仿宋" w:hAnsi="仿宋" w:eastAsia="仿宋"/>
                <w:color w:val="000000" w:themeColor="text1"/>
                <w:sz w:val="24"/>
                <w:szCs w:val="24"/>
              </w:rPr>
            </w:pPr>
          </w:p>
        </w:tc>
        <w:tc>
          <w:tcPr>
            <w:tcW w:w="2268" w:type="dxa"/>
            <w:tcMar>
              <w:left w:w="57" w:type="dxa"/>
              <w:right w:w="57" w:type="dxa"/>
            </w:tcMar>
            <w:vAlign w:val="center"/>
          </w:tcPr>
          <w:p w14:paraId="05F40BF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工业用地</w:t>
            </w:r>
          </w:p>
        </w:tc>
        <w:tc>
          <w:tcPr>
            <w:tcW w:w="1247" w:type="dxa"/>
            <w:tcMar>
              <w:left w:w="57" w:type="dxa"/>
              <w:right w:w="57" w:type="dxa"/>
            </w:tcMar>
            <w:vAlign w:val="center"/>
          </w:tcPr>
          <w:p w14:paraId="70F05B5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0.29</w:t>
            </w:r>
          </w:p>
        </w:tc>
        <w:tc>
          <w:tcPr>
            <w:tcW w:w="1134" w:type="dxa"/>
            <w:tcMar>
              <w:left w:w="57" w:type="dxa"/>
              <w:right w:w="57" w:type="dxa"/>
            </w:tcMar>
            <w:vAlign w:val="center"/>
          </w:tcPr>
          <w:p w14:paraId="0FA614B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0.01</w:t>
            </w:r>
          </w:p>
        </w:tc>
        <w:tc>
          <w:tcPr>
            <w:tcW w:w="1247" w:type="dxa"/>
            <w:tcMar>
              <w:left w:w="57" w:type="dxa"/>
              <w:right w:w="57" w:type="dxa"/>
            </w:tcMar>
            <w:vAlign w:val="center"/>
          </w:tcPr>
          <w:p w14:paraId="6F9192E9">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0.29</w:t>
            </w:r>
          </w:p>
        </w:tc>
        <w:tc>
          <w:tcPr>
            <w:tcW w:w="1134" w:type="dxa"/>
            <w:tcMar>
              <w:left w:w="57" w:type="dxa"/>
              <w:right w:w="57" w:type="dxa"/>
            </w:tcMar>
            <w:vAlign w:val="center"/>
          </w:tcPr>
          <w:p w14:paraId="08BFA45A">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.01</w:t>
            </w:r>
          </w:p>
        </w:tc>
        <w:tc>
          <w:tcPr>
            <w:tcW w:w="1247" w:type="dxa"/>
            <w:tcMar>
              <w:left w:w="57" w:type="dxa"/>
              <w:right w:w="57" w:type="dxa"/>
            </w:tcMar>
            <w:vAlign w:val="center"/>
          </w:tcPr>
          <w:p w14:paraId="5B72677C">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4D1B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50AC8ECC">
            <w:pPr>
              <w:pStyle w:val="8"/>
              <w:jc w:val="center"/>
              <w:rPr>
                <w:rFonts w:ascii="仿宋" w:hAnsi="仿宋"/>
                <w:b/>
                <w:color w:val="000000" w:themeColor="text1"/>
                <w:sz w:val="28"/>
                <w:szCs w:val="28"/>
              </w:rPr>
            </w:pPr>
          </w:p>
        </w:tc>
        <w:tc>
          <w:tcPr>
            <w:tcW w:w="765" w:type="dxa"/>
            <w:vMerge w:val="continue"/>
            <w:tcMar>
              <w:left w:w="57" w:type="dxa"/>
              <w:right w:w="57" w:type="dxa"/>
            </w:tcMar>
            <w:vAlign w:val="center"/>
          </w:tcPr>
          <w:p w14:paraId="3181DB77">
            <w:pPr>
              <w:pStyle w:val="20"/>
              <w:jc w:val="both"/>
              <w:rPr>
                <w:color w:val="000000" w:themeColor="text1"/>
                <w:sz w:val="23"/>
                <w:szCs w:val="23"/>
              </w:rPr>
            </w:pPr>
          </w:p>
        </w:tc>
        <w:tc>
          <w:tcPr>
            <w:tcW w:w="2268" w:type="dxa"/>
            <w:tcMar>
              <w:left w:w="57" w:type="dxa"/>
              <w:right w:w="57" w:type="dxa"/>
            </w:tcMar>
            <w:vAlign w:val="center"/>
          </w:tcPr>
          <w:p w14:paraId="56399E8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乡村道路用地</w:t>
            </w:r>
          </w:p>
        </w:tc>
        <w:tc>
          <w:tcPr>
            <w:tcW w:w="1247" w:type="dxa"/>
            <w:tcMar>
              <w:left w:w="57" w:type="dxa"/>
              <w:right w:w="57" w:type="dxa"/>
            </w:tcMar>
            <w:vAlign w:val="center"/>
          </w:tcPr>
          <w:p w14:paraId="1F4142E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4</w:t>
            </w:r>
            <w:r>
              <w:rPr>
                <w:rFonts w:ascii="仿宋" w:hAnsi="仿宋" w:eastAsia="仿宋"/>
                <w:color w:val="000000" w:themeColor="text1"/>
                <w:sz w:val="24"/>
                <w:szCs w:val="24"/>
              </w:rPr>
              <w:t>.09</w:t>
            </w:r>
          </w:p>
        </w:tc>
        <w:tc>
          <w:tcPr>
            <w:tcW w:w="1134" w:type="dxa"/>
            <w:tcMar>
              <w:left w:w="57" w:type="dxa"/>
              <w:right w:w="57" w:type="dxa"/>
            </w:tcMar>
            <w:vAlign w:val="center"/>
          </w:tcPr>
          <w:p w14:paraId="755B0E7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.15</w:t>
            </w:r>
          </w:p>
        </w:tc>
        <w:tc>
          <w:tcPr>
            <w:tcW w:w="1247" w:type="dxa"/>
            <w:tcMar>
              <w:left w:w="57" w:type="dxa"/>
              <w:right w:w="57" w:type="dxa"/>
            </w:tcMar>
            <w:vAlign w:val="center"/>
          </w:tcPr>
          <w:p w14:paraId="141DE02E">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4</w:t>
            </w:r>
            <w:r>
              <w:rPr>
                <w:rFonts w:ascii="仿宋" w:hAnsi="仿宋" w:eastAsia="仿宋"/>
                <w:color w:val="000000" w:themeColor="text1"/>
                <w:sz w:val="24"/>
                <w:szCs w:val="24"/>
              </w:rPr>
              <w:t>.09</w:t>
            </w:r>
          </w:p>
        </w:tc>
        <w:tc>
          <w:tcPr>
            <w:tcW w:w="1134" w:type="dxa"/>
            <w:tcMar>
              <w:left w:w="57" w:type="dxa"/>
              <w:right w:w="57" w:type="dxa"/>
            </w:tcMar>
            <w:vAlign w:val="center"/>
          </w:tcPr>
          <w:p w14:paraId="34BD6A4B">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.15</w:t>
            </w:r>
          </w:p>
        </w:tc>
        <w:tc>
          <w:tcPr>
            <w:tcW w:w="1247" w:type="dxa"/>
            <w:tcMar>
              <w:left w:w="57" w:type="dxa"/>
              <w:right w:w="57" w:type="dxa"/>
            </w:tcMar>
            <w:vAlign w:val="center"/>
          </w:tcPr>
          <w:p w14:paraId="4D84A53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p>
        </w:tc>
      </w:tr>
      <w:tr w14:paraId="7222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478AAB92">
            <w:pPr>
              <w:pStyle w:val="8"/>
              <w:jc w:val="center"/>
              <w:rPr>
                <w:rFonts w:ascii="仿宋" w:hAnsi="仿宋"/>
                <w:b/>
                <w:color w:val="000000" w:themeColor="text1"/>
                <w:sz w:val="28"/>
                <w:szCs w:val="28"/>
              </w:rPr>
            </w:pPr>
          </w:p>
        </w:tc>
        <w:tc>
          <w:tcPr>
            <w:tcW w:w="765" w:type="dxa"/>
            <w:vMerge w:val="continue"/>
            <w:tcMar>
              <w:left w:w="57" w:type="dxa"/>
              <w:right w:w="57" w:type="dxa"/>
            </w:tcMar>
            <w:vAlign w:val="center"/>
          </w:tcPr>
          <w:p w14:paraId="56A7C213">
            <w:pPr>
              <w:pStyle w:val="20"/>
              <w:jc w:val="both"/>
              <w:rPr>
                <w:color w:val="000000" w:themeColor="text1"/>
                <w:sz w:val="23"/>
                <w:szCs w:val="23"/>
              </w:rPr>
            </w:pPr>
          </w:p>
        </w:tc>
        <w:tc>
          <w:tcPr>
            <w:tcW w:w="2268" w:type="dxa"/>
            <w:tcMar>
              <w:left w:w="57" w:type="dxa"/>
              <w:right w:w="57" w:type="dxa"/>
            </w:tcMar>
            <w:vAlign w:val="center"/>
          </w:tcPr>
          <w:p w14:paraId="5989421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公用设施用地</w:t>
            </w:r>
          </w:p>
        </w:tc>
        <w:tc>
          <w:tcPr>
            <w:tcW w:w="1247" w:type="dxa"/>
            <w:tcMar>
              <w:left w:w="57" w:type="dxa"/>
              <w:right w:w="57" w:type="dxa"/>
            </w:tcMar>
            <w:vAlign w:val="center"/>
          </w:tcPr>
          <w:p w14:paraId="4E6BF63E">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0.04</w:t>
            </w:r>
          </w:p>
        </w:tc>
        <w:tc>
          <w:tcPr>
            <w:tcW w:w="1134" w:type="dxa"/>
            <w:tcMar>
              <w:left w:w="57" w:type="dxa"/>
              <w:right w:w="57" w:type="dxa"/>
            </w:tcMar>
            <w:vAlign w:val="center"/>
          </w:tcPr>
          <w:p w14:paraId="194080B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c>
          <w:tcPr>
            <w:tcW w:w="1247" w:type="dxa"/>
            <w:tcMar>
              <w:left w:w="57" w:type="dxa"/>
              <w:right w:w="57" w:type="dxa"/>
            </w:tcMar>
            <w:vAlign w:val="center"/>
          </w:tcPr>
          <w:p w14:paraId="394CD18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0.04</w:t>
            </w:r>
          </w:p>
        </w:tc>
        <w:tc>
          <w:tcPr>
            <w:tcW w:w="1134" w:type="dxa"/>
            <w:tcMar>
              <w:left w:w="57" w:type="dxa"/>
              <w:right w:w="57" w:type="dxa"/>
            </w:tcMar>
            <w:vAlign w:val="center"/>
          </w:tcPr>
          <w:p w14:paraId="0D79353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p>
        </w:tc>
        <w:tc>
          <w:tcPr>
            <w:tcW w:w="1247" w:type="dxa"/>
            <w:tcMar>
              <w:left w:w="57" w:type="dxa"/>
              <w:right w:w="57" w:type="dxa"/>
            </w:tcMar>
            <w:vAlign w:val="center"/>
          </w:tcPr>
          <w:p w14:paraId="2EE60EF7">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48F6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60BA4BAA">
            <w:pPr>
              <w:pStyle w:val="8"/>
              <w:jc w:val="center"/>
              <w:rPr>
                <w:rFonts w:ascii="仿宋" w:hAnsi="仿宋"/>
                <w:b/>
                <w:color w:val="000000" w:themeColor="text1"/>
                <w:sz w:val="28"/>
                <w:szCs w:val="28"/>
              </w:rPr>
            </w:pPr>
          </w:p>
        </w:tc>
        <w:tc>
          <w:tcPr>
            <w:tcW w:w="765" w:type="dxa"/>
            <w:vMerge w:val="continue"/>
            <w:tcMar>
              <w:left w:w="57" w:type="dxa"/>
              <w:right w:w="57" w:type="dxa"/>
            </w:tcMar>
            <w:vAlign w:val="center"/>
          </w:tcPr>
          <w:p w14:paraId="680E6F12">
            <w:pPr>
              <w:pStyle w:val="20"/>
              <w:jc w:val="both"/>
              <w:rPr>
                <w:color w:val="000000" w:themeColor="text1"/>
                <w:sz w:val="23"/>
                <w:szCs w:val="23"/>
              </w:rPr>
            </w:pPr>
          </w:p>
        </w:tc>
        <w:tc>
          <w:tcPr>
            <w:tcW w:w="2268" w:type="dxa"/>
            <w:tcMar>
              <w:left w:w="57" w:type="dxa"/>
              <w:right w:w="57" w:type="dxa"/>
            </w:tcMar>
            <w:vAlign w:val="center"/>
          </w:tcPr>
          <w:p w14:paraId="5908D70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农村社区服务设施用地</w:t>
            </w:r>
          </w:p>
        </w:tc>
        <w:tc>
          <w:tcPr>
            <w:tcW w:w="1247" w:type="dxa"/>
            <w:tcMar>
              <w:left w:w="57" w:type="dxa"/>
              <w:right w:w="57" w:type="dxa"/>
            </w:tcMar>
            <w:vAlign w:val="center"/>
          </w:tcPr>
          <w:p w14:paraId="3406E049">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c>
          <w:tcPr>
            <w:tcW w:w="1134" w:type="dxa"/>
            <w:tcMar>
              <w:left w:w="57" w:type="dxa"/>
              <w:right w:w="57" w:type="dxa"/>
            </w:tcMar>
            <w:vAlign w:val="center"/>
          </w:tcPr>
          <w:p w14:paraId="0E82F8CA">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c>
          <w:tcPr>
            <w:tcW w:w="1247" w:type="dxa"/>
            <w:tcMar>
              <w:left w:w="57" w:type="dxa"/>
              <w:right w:w="57" w:type="dxa"/>
            </w:tcMar>
            <w:vAlign w:val="center"/>
          </w:tcPr>
          <w:p w14:paraId="04B67542">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0.44</w:t>
            </w:r>
          </w:p>
        </w:tc>
        <w:tc>
          <w:tcPr>
            <w:tcW w:w="1134" w:type="dxa"/>
            <w:tcMar>
              <w:left w:w="57" w:type="dxa"/>
              <w:right w:w="57" w:type="dxa"/>
            </w:tcMar>
            <w:vAlign w:val="center"/>
          </w:tcPr>
          <w:p w14:paraId="268482C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.02</w:t>
            </w:r>
          </w:p>
        </w:tc>
        <w:tc>
          <w:tcPr>
            <w:tcW w:w="1247" w:type="dxa"/>
            <w:tcMar>
              <w:left w:w="57" w:type="dxa"/>
              <w:right w:w="57" w:type="dxa"/>
            </w:tcMar>
            <w:vAlign w:val="center"/>
          </w:tcPr>
          <w:p w14:paraId="431705F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0.44</w:t>
            </w:r>
          </w:p>
        </w:tc>
      </w:tr>
      <w:tr w14:paraId="5A8C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7ADF88A2">
            <w:pPr>
              <w:pStyle w:val="8"/>
              <w:jc w:val="center"/>
              <w:rPr>
                <w:rFonts w:ascii="仿宋" w:hAnsi="仿宋"/>
                <w:b/>
                <w:color w:val="000000" w:themeColor="text1"/>
                <w:sz w:val="28"/>
                <w:szCs w:val="28"/>
              </w:rPr>
            </w:pPr>
          </w:p>
        </w:tc>
        <w:tc>
          <w:tcPr>
            <w:tcW w:w="765" w:type="dxa"/>
            <w:vMerge w:val="continue"/>
            <w:tcMar>
              <w:left w:w="57" w:type="dxa"/>
              <w:right w:w="57" w:type="dxa"/>
            </w:tcMar>
            <w:vAlign w:val="center"/>
          </w:tcPr>
          <w:p w14:paraId="4073BBDB">
            <w:pPr>
              <w:pStyle w:val="20"/>
              <w:jc w:val="both"/>
              <w:rPr>
                <w:color w:val="000000" w:themeColor="text1"/>
                <w:sz w:val="23"/>
                <w:szCs w:val="23"/>
              </w:rPr>
            </w:pPr>
          </w:p>
        </w:tc>
        <w:tc>
          <w:tcPr>
            <w:tcW w:w="2268" w:type="dxa"/>
            <w:tcMar>
              <w:left w:w="57" w:type="dxa"/>
              <w:right w:w="57" w:type="dxa"/>
            </w:tcMar>
            <w:vAlign w:val="center"/>
          </w:tcPr>
          <w:p w14:paraId="14C0BEEC">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绿地与开敞空间用地</w:t>
            </w:r>
          </w:p>
        </w:tc>
        <w:tc>
          <w:tcPr>
            <w:tcW w:w="1247" w:type="dxa"/>
            <w:tcMar>
              <w:left w:w="57" w:type="dxa"/>
              <w:right w:w="57" w:type="dxa"/>
            </w:tcMar>
            <w:vAlign w:val="center"/>
          </w:tcPr>
          <w:p w14:paraId="439ADCD6">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c>
          <w:tcPr>
            <w:tcW w:w="1134" w:type="dxa"/>
            <w:tcMar>
              <w:left w:w="57" w:type="dxa"/>
              <w:right w:w="57" w:type="dxa"/>
            </w:tcMar>
            <w:vAlign w:val="center"/>
          </w:tcPr>
          <w:p w14:paraId="19FFE1E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c>
          <w:tcPr>
            <w:tcW w:w="1247" w:type="dxa"/>
            <w:tcMar>
              <w:left w:w="57" w:type="dxa"/>
              <w:right w:w="57" w:type="dxa"/>
            </w:tcMar>
            <w:vAlign w:val="center"/>
          </w:tcPr>
          <w:p w14:paraId="12D7211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0.11</w:t>
            </w:r>
          </w:p>
        </w:tc>
        <w:tc>
          <w:tcPr>
            <w:tcW w:w="1134" w:type="dxa"/>
            <w:tcMar>
              <w:left w:w="57" w:type="dxa"/>
              <w:right w:w="57" w:type="dxa"/>
            </w:tcMar>
            <w:vAlign w:val="center"/>
          </w:tcPr>
          <w:p w14:paraId="574D900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p>
        </w:tc>
        <w:tc>
          <w:tcPr>
            <w:tcW w:w="1247" w:type="dxa"/>
            <w:tcMar>
              <w:left w:w="57" w:type="dxa"/>
              <w:right w:w="57" w:type="dxa"/>
            </w:tcMar>
            <w:vAlign w:val="center"/>
          </w:tcPr>
          <w:p w14:paraId="74BEDB3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0.11</w:t>
            </w:r>
          </w:p>
        </w:tc>
      </w:tr>
      <w:tr w14:paraId="076D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087CEC28">
            <w:pPr>
              <w:pStyle w:val="8"/>
              <w:jc w:val="center"/>
              <w:rPr>
                <w:rFonts w:ascii="仿宋" w:hAnsi="仿宋"/>
                <w:b/>
                <w:color w:val="000000" w:themeColor="text1"/>
                <w:sz w:val="28"/>
                <w:szCs w:val="28"/>
              </w:rPr>
            </w:pPr>
          </w:p>
        </w:tc>
        <w:tc>
          <w:tcPr>
            <w:tcW w:w="765" w:type="dxa"/>
            <w:vMerge w:val="continue"/>
            <w:tcMar>
              <w:left w:w="57" w:type="dxa"/>
              <w:right w:w="57" w:type="dxa"/>
            </w:tcMar>
            <w:vAlign w:val="center"/>
          </w:tcPr>
          <w:p w14:paraId="3A200EFD">
            <w:pPr>
              <w:pStyle w:val="20"/>
              <w:jc w:val="both"/>
              <w:rPr>
                <w:color w:val="000000" w:themeColor="text1"/>
                <w:sz w:val="23"/>
                <w:szCs w:val="23"/>
              </w:rPr>
            </w:pPr>
          </w:p>
        </w:tc>
        <w:tc>
          <w:tcPr>
            <w:tcW w:w="2268" w:type="dxa"/>
            <w:tcMar>
              <w:left w:w="57" w:type="dxa"/>
              <w:right w:w="57" w:type="dxa"/>
            </w:tcMar>
            <w:vAlign w:val="center"/>
          </w:tcPr>
          <w:p w14:paraId="3D396EE1">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小计</w:t>
            </w:r>
          </w:p>
        </w:tc>
        <w:tc>
          <w:tcPr>
            <w:tcW w:w="1247" w:type="dxa"/>
            <w:tcMar>
              <w:left w:w="57" w:type="dxa"/>
              <w:right w:w="57" w:type="dxa"/>
            </w:tcMar>
            <w:vAlign w:val="center"/>
          </w:tcPr>
          <w:p w14:paraId="148C25A7">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45.28</w:t>
            </w:r>
          </w:p>
        </w:tc>
        <w:tc>
          <w:tcPr>
            <w:tcW w:w="1134" w:type="dxa"/>
            <w:tcMar>
              <w:left w:w="57" w:type="dxa"/>
              <w:right w:w="57" w:type="dxa"/>
            </w:tcMar>
            <w:vAlign w:val="center"/>
          </w:tcPr>
          <w:p w14:paraId="3546657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.62</w:t>
            </w:r>
          </w:p>
        </w:tc>
        <w:tc>
          <w:tcPr>
            <w:tcW w:w="1247" w:type="dxa"/>
            <w:tcMar>
              <w:left w:w="57" w:type="dxa"/>
              <w:right w:w="57" w:type="dxa"/>
            </w:tcMar>
            <w:vAlign w:val="center"/>
          </w:tcPr>
          <w:p w14:paraId="0FC5F8F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45.79</w:t>
            </w:r>
          </w:p>
        </w:tc>
        <w:tc>
          <w:tcPr>
            <w:tcW w:w="1134" w:type="dxa"/>
            <w:tcMar>
              <w:left w:w="57" w:type="dxa"/>
              <w:right w:w="57" w:type="dxa"/>
            </w:tcMar>
            <w:vAlign w:val="center"/>
          </w:tcPr>
          <w:p w14:paraId="2279C0B1">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.63</w:t>
            </w:r>
          </w:p>
        </w:tc>
        <w:tc>
          <w:tcPr>
            <w:tcW w:w="1247" w:type="dxa"/>
            <w:tcMar>
              <w:left w:w="57" w:type="dxa"/>
              <w:right w:w="57" w:type="dxa"/>
            </w:tcMar>
            <w:vAlign w:val="center"/>
          </w:tcPr>
          <w:p w14:paraId="43119E9E">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0.51</w:t>
            </w:r>
          </w:p>
        </w:tc>
      </w:tr>
      <w:tr w14:paraId="1811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01539673">
            <w:pPr>
              <w:pStyle w:val="8"/>
              <w:jc w:val="center"/>
              <w:rPr>
                <w:rFonts w:ascii="仿宋" w:hAnsi="仿宋" w:eastAsia="仿宋"/>
                <w:color w:val="000000" w:themeColor="text1"/>
                <w:sz w:val="24"/>
                <w:szCs w:val="24"/>
              </w:rPr>
            </w:pPr>
          </w:p>
        </w:tc>
        <w:tc>
          <w:tcPr>
            <w:tcW w:w="765" w:type="dxa"/>
            <w:tcMar>
              <w:left w:w="57" w:type="dxa"/>
              <w:right w:w="57" w:type="dxa"/>
            </w:tcMar>
            <w:vAlign w:val="center"/>
          </w:tcPr>
          <w:p w14:paraId="34FFAF4C">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区域基础设施用地</w:t>
            </w:r>
          </w:p>
        </w:tc>
        <w:tc>
          <w:tcPr>
            <w:tcW w:w="2268" w:type="dxa"/>
            <w:tcMar>
              <w:left w:w="57" w:type="dxa"/>
              <w:right w:w="57" w:type="dxa"/>
            </w:tcMar>
            <w:vAlign w:val="center"/>
          </w:tcPr>
          <w:p w14:paraId="6D06B6A2">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公路用地</w:t>
            </w:r>
          </w:p>
        </w:tc>
        <w:tc>
          <w:tcPr>
            <w:tcW w:w="1247" w:type="dxa"/>
            <w:tcMar>
              <w:left w:w="57" w:type="dxa"/>
              <w:right w:w="57" w:type="dxa"/>
            </w:tcMar>
            <w:vAlign w:val="center"/>
          </w:tcPr>
          <w:p w14:paraId="57139A0E">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2.99</w:t>
            </w:r>
          </w:p>
        </w:tc>
        <w:tc>
          <w:tcPr>
            <w:tcW w:w="1134" w:type="dxa"/>
            <w:tcMar>
              <w:left w:w="57" w:type="dxa"/>
              <w:right w:w="57" w:type="dxa"/>
            </w:tcMar>
            <w:vAlign w:val="center"/>
          </w:tcPr>
          <w:p w14:paraId="729AF54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.46</w:t>
            </w:r>
          </w:p>
        </w:tc>
        <w:tc>
          <w:tcPr>
            <w:tcW w:w="1247" w:type="dxa"/>
            <w:tcMar>
              <w:left w:w="57" w:type="dxa"/>
              <w:right w:w="57" w:type="dxa"/>
            </w:tcMar>
            <w:vAlign w:val="center"/>
          </w:tcPr>
          <w:p w14:paraId="23645591">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2.99</w:t>
            </w:r>
          </w:p>
        </w:tc>
        <w:tc>
          <w:tcPr>
            <w:tcW w:w="1134" w:type="dxa"/>
            <w:tcMar>
              <w:left w:w="57" w:type="dxa"/>
              <w:right w:w="57" w:type="dxa"/>
            </w:tcMar>
            <w:vAlign w:val="center"/>
          </w:tcPr>
          <w:p w14:paraId="194C99F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.46</w:t>
            </w:r>
          </w:p>
        </w:tc>
        <w:tc>
          <w:tcPr>
            <w:tcW w:w="1247" w:type="dxa"/>
            <w:tcMar>
              <w:left w:w="57" w:type="dxa"/>
              <w:right w:w="57" w:type="dxa"/>
            </w:tcMar>
            <w:vAlign w:val="center"/>
          </w:tcPr>
          <w:p w14:paraId="67885621">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p>
        </w:tc>
      </w:tr>
      <w:tr w14:paraId="564D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35951DDE">
            <w:pPr>
              <w:pStyle w:val="8"/>
              <w:jc w:val="center"/>
              <w:rPr>
                <w:rFonts w:ascii="仿宋" w:hAnsi="仿宋" w:eastAsia="仿宋"/>
                <w:color w:val="000000" w:themeColor="text1"/>
                <w:sz w:val="24"/>
                <w:szCs w:val="24"/>
              </w:rPr>
            </w:pPr>
          </w:p>
        </w:tc>
        <w:tc>
          <w:tcPr>
            <w:tcW w:w="765" w:type="dxa"/>
            <w:vMerge w:val="restart"/>
            <w:tcMar>
              <w:left w:w="57" w:type="dxa"/>
              <w:right w:w="57" w:type="dxa"/>
            </w:tcMar>
            <w:vAlign w:val="center"/>
          </w:tcPr>
          <w:p w14:paraId="407F31A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其他建设用地</w:t>
            </w:r>
          </w:p>
        </w:tc>
        <w:tc>
          <w:tcPr>
            <w:tcW w:w="2268" w:type="dxa"/>
            <w:tcMar>
              <w:left w:w="57" w:type="dxa"/>
              <w:right w:w="57" w:type="dxa"/>
            </w:tcMar>
            <w:vAlign w:val="center"/>
          </w:tcPr>
          <w:p w14:paraId="7F197A2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特殊用地</w:t>
            </w:r>
          </w:p>
        </w:tc>
        <w:tc>
          <w:tcPr>
            <w:tcW w:w="1247" w:type="dxa"/>
            <w:tcMar>
              <w:left w:w="57" w:type="dxa"/>
              <w:right w:w="57" w:type="dxa"/>
            </w:tcMar>
            <w:vAlign w:val="center"/>
          </w:tcPr>
          <w:p w14:paraId="0D53BB1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0.19</w:t>
            </w:r>
          </w:p>
        </w:tc>
        <w:tc>
          <w:tcPr>
            <w:tcW w:w="1134" w:type="dxa"/>
            <w:tcMar>
              <w:left w:w="57" w:type="dxa"/>
              <w:right w:w="57" w:type="dxa"/>
            </w:tcMar>
            <w:vAlign w:val="center"/>
          </w:tcPr>
          <w:p w14:paraId="4EAACDE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0.01</w:t>
            </w:r>
          </w:p>
        </w:tc>
        <w:tc>
          <w:tcPr>
            <w:tcW w:w="1247" w:type="dxa"/>
            <w:tcMar>
              <w:left w:w="57" w:type="dxa"/>
              <w:right w:w="57" w:type="dxa"/>
            </w:tcMar>
            <w:vAlign w:val="center"/>
          </w:tcPr>
          <w:p w14:paraId="5D83299D">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0.42</w:t>
            </w:r>
          </w:p>
        </w:tc>
        <w:tc>
          <w:tcPr>
            <w:tcW w:w="1134" w:type="dxa"/>
            <w:tcMar>
              <w:left w:w="57" w:type="dxa"/>
              <w:right w:w="57" w:type="dxa"/>
            </w:tcMar>
            <w:vAlign w:val="center"/>
          </w:tcPr>
          <w:p w14:paraId="1DCC54D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.01</w:t>
            </w:r>
          </w:p>
        </w:tc>
        <w:tc>
          <w:tcPr>
            <w:tcW w:w="1247" w:type="dxa"/>
            <w:tcMar>
              <w:left w:w="57" w:type="dxa"/>
              <w:right w:w="57" w:type="dxa"/>
            </w:tcMar>
            <w:vAlign w:val="center"/>
          </w:tcPr>
          <w:p w14:paraId="192F4716">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0.23</w:t>
            </w:r>
          </w:p>
        </w:tc>
      </w:tr>
      <w:tr w14:paraId="31C5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38D89BE4">
            <w:pPr>
              <w:jc w:val="center"/>
              <w:rPr>
                <w:rFonts w:ascii="仿宋" w:hAnsi="仿宋"/>
                <w:b/>
                <w:color w:val="000000" w:themeColor="text1"/>
                <w:sz w:val="28"/>
                <w:szCs w:val="28"/>
              </w:rPr>
            </w:pPr>
          </w:p>
        </w:tc>
        <w:tc>
          <w:tcPr>
            <w:tcW w:w="765" w:type="dxa"/>
            <w:vMerge w:val="continue"/>
            <w:tcMar>
              <w:left w:w="57" w:type="dxa"/>
              <w:right w:w="57" w:type="dxa"/>
            </w:tcMar>
            <w:vAlign w:val="center"/>
          </w:tcPr>
          <w:p w14:paraId="5B907EB9">
            <w:pPr>
              <w:pStyle w:val="20"/>
              <w:jc w:val="both"/>
              <w:rPr>
                <w:color w:val="000000" w:themeColor="text1"/>
                <w:sz w:val="23"/>
                <w:szCs w:val="23"/>
              </w:rPr>
            </w:pPr>
          </w:p>
        </w:tc>
        <w:tc>
          <w:tcPr>
            <w:tcW w:w="2268" w:type="dxa"/>
            <w:tcMar>
              <w:left w:w="57" w:type="dxa"/>
              <w:right w:w="57" w:type="dxa"/>
            </w:tcMar>
            <w:vAlign w:val="center"/>
          </w:tcPr>
          <w:p w14:paraId="5E8C96A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采矿用地</w:t>
            </w:r>
          </w:p>
        </w:tc>
        <w:tc>
          <w:tcPr>
            <w:tcW w:w="1247" w:type="dxa"/>
            <w:tcMar>
              <w:left w:w="57" w:type="dxa"/>
              <w:right w:w="57" w:type="dxa"/>
            </w:tcMar>
            <w:vAlign w:val="center"/>
          </w:tcPr>
          <w:p w14:paraId="3D3D252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1.98</w:t>
            </w:r>
          </w:p>
        </w:tc>
        <w:tc>
          <w:tcPr>
            <w:tcW w:w="1134" w:type="dxa"/>
            <w:tcMar>
              <w:left w:w="57" w:type="dxa"/>
              <w:right w:w="57" w:type="dxa"/>
            </w:tcMar>
            <w:vAlign w:val="center"/>
          </w:tcPr>
          <w:p w14:paraId="62B571EE">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0.07</w:t>
            </w:r>
          </w:p>
        </w:tc>
        <w:tc>
          <w:tcPr>
            <w:tcW w:w="1247" w:type="dxa"/>
            <w:tcMar>
              <w:left w:w="57" w:type="dxa"/>
              <w:right w:w="57" w:type="dxa"/>
            </w:tcMar>
            <w:vAlign w:val="center"/>
          </w:tcPr>
          <w:p w14:paraId="74574C2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1.98</w:t>
            </w:r>
          </w:p>
        </w:tc>
        <w:tc>
          <w:tcPr>
            <w:tcW w:w="1134" w:type="dxa"/>
            <w:tcMar>
              <w:left w:w="57" w:type="dxa"/>
              <w:right w:w="57" w:type="dxa"/>
            </w:tcMar>
            <w:vAlign w:val="center"/>
          </w:tcPr>
          <w:p w14:paraId="07A7D05A">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.07</w:t>
            </w:r>
          </w:p>
        </w:tc>
        <w:tc>
          <w:tcPr>
            <w:tcW w:w="1247" w:type="dxa"/>
            <w:tcMar>
              <w:left w:w="57" w:type="dxa"/>
              <w:right w:w="57" w:type="dxa"/>
            </w:tcMar>
            <w:vAlign w:val="center"/>
          </w:tcPr>
          <w:p w14:paraId="09D048D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6929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0EC37833">
            <w:pPr>
              <w:jc w:val="center"/>
              <w:rPr>
                <w:rFonts w:ascii="仿宋" w:hAnsi="仿宋"/>
                <w:b/>
                <w:color w:val="000000" w:themeColor="text1"/>
                <w:sz w:val="28"/>
                <w:szCs w:val="28"/>
              </w:rPr>
            </w:pPr>
          </w:p>
        </w:tc>
        <w:tc>
          <w:tcPr>
            <w:tcW w:w="765" w:type="dxa"/>
            <w:tcMar>
              <w:left w:w="57" w:type="dxa"/>
              <w:right w:w="57" w:type="dxa"/>
            </w:tcMar>
            <w:vAlign w:val="center"/>
          </w:tcPr>
          <w:p w14:paraId="4687DC70">
            <w:pPr>
              <w:pStyle w:val="20"/>
              <w:jc w:val="both"/>
              <w:rPr>
                <w:color w:val="000000" w:themeColor="text1"/>
                <w:sz w:val="23"/>
                <w:szCs w:val="23"/>
              </w:rPr>
            </w:pPr>
          </w:p>
        </w:tc>
        <w:tc>
          <w:tcPr>
            <w:tcW w:w="2268" w:type="dxa"/>
            <w:tcMar>
              <w:left w:w="57" w:type="dxa"/>
              <w:right w:w="57" w:type="dxa"/>
            </w:tcMar>
            <w:vAlign w:val="center"/>
          </w:tcPr>
          <w:p w14:paraId="5A57C83F">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小计</w:t>
            </w:r>
          </w:p>
        </w:tc>
        <w:tc>
          <w:tcPr>
            <w:tcW w:w="1247" w:type="dxa"/>
            <w:tcMar>
              <w:left w:w="57" w:type="dxa"/>
              <w:right w:w="57" w:type="dxa"/>
            </w:tcMar>
            <w:vAlign w:val="center"/>
          </w:tcPr>
          <w:p w14:paraId="5D18D284">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.17</w:t>
            </w:r>
          </w:p>
        </w:tc>
        <w:tc>
          <w:tcPr>
            <w:tcW w:w="1134" w:type="dxa"/>
            <w:tcMar>
              <w:left w:w="57" w:type="dxa"/>
              <w:right w:w="57" w:type="dxa"/>
            </w:tcMar>
            <w:vAlign w:val="center"/>
          </w:tcPr>
          <w:p w14:paraId="6449624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.08</w:t>
            </w:r>
          </w:p>
        </w:tc>
        <w:tc>
          <w:tcPr>
            <w:tcW w:w="1247" w:type="dxa"/>
            <w:tcMar>
              <w:left w:w="57" w:type="dxa"/>
              <w:right w:w="57" w:type="dxa"/>
            </w:tcMar>
            <w:vAlign w:val="center"/>
          </w:tcPr>
          <w:p w14:paraId="67FC0B0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.40</w:t>
            </w:r>
          </w:p>
        </w:tc>
        <w:tc>
          <w:tcPr>
            <w:tcW w:w="1134" w:type="dxa"/>
            <w:tcMar>
              <w:left w:w="57" w:type="dxa"/>
              <w:right w:w="57" w:type="dxa"/>
            </w:tcMar>
            <w:vAlign w:val="center"/>
          </w:tcPr>
          <w:p w14:paraId="40776D60">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.09</w:t>
            </w:r>
          </w:p>
        </w:tc>
        <w:tc>
          <w:tcPr>
            <w:tcW w:w="1247" w:type="dxa"/>
            <w:tcMar>
              <w:left w:w="57" w:type="dxa"/>
              <w:right w:w="57" w:type="dxa"/>
            </w:tcMar>
            <w:vAlign w:val="center"/>
          </w:tcPr>
          <w:p w14:paraId="24AC9E7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.23</w:t>
            </w:r>
          </w:p>
        </w:tc>
      </w:tr>
      <w:tr w14:paraId="7508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5" w:type="dxa"/>
            <w:vMerge w:val="continue"/>
            <w:tcMar>
              <w:left w:w="57" w:type="dxa"/>
              <w:right w:w="57" w:type="dxa"/>
            </w:tcMar>
            <w:vAlign w:val="center"/>
          </w:tcPr>
          <w:p w14:paraId="5D5CF4A9">
            <w:pPr>
              <w:jc w:val="center"/>
              <w:rPr>
                <w:rFonts w:ascii="仿宋" w:hAnsi="仿宋"/>
                <w:b/>
                <w:color w:val="000000" w:themeColor="text1"/>
                <w:sz w:val="28"/>
                <w:szCs w:val="28"/>
              </w:rPr>
            </w:pPr>
          </w:p>
        </w:tc>
        <w:tc>
          <w:tcPr>
            <w:tcW w:w="3033" w:type="dxa"/>
            <w:gridSpan w:val="2"/>
            <w:tcMar>
              <w:left w:w="57" w:type="dxa"/>
              <w:right w:w="57" w:type="dxa"/>
            </w:tcMar>
            <w:vAlign w:val="center"/>
          </w:tcPr>
          <w:p w14:paraId="7B784E7A">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建设用地</w:t>
            </w:r>
            <w:r>
              <w:rPr>
                <w:rFonts w:ascii="仿宋" w:hAnsi="仿宋" w:eastAsia="仿宋"/>
                <w:color w:val="000000" w:themeColor="text1"/>
                <w:sz w:val="24"/>
                <w:szCs w:val="24"/>
              </w:rPr>
              <w:t xml:space="preserve"> </w:t>
            </w:r>
            <w:r>
              <w:rPr>
                <w:rFonts w:hint="eastAsia" w:ascii="仿宋" w:hAnsi="仿宋" w:eastAsia="仿宋"/>
                <w:color w:val="000000" w:themeColor="text1"/>
                <w:sz w:val="24"/>
                <w:szCs w:val="24"/>
              </w:rPr>
              <w:t>合计</w:t>
            </w:r>
          </w:p>
        </w:tc>
        <w:tc>
          <w:tcPr>
            <w:tcW w:w="1247" w:type="dxa"/>
            <w:tcMar>
              <w:left w:w="57" w:type="dxa"/>
              <w:right w:w="57" w:type="dxa"/>
            </w:tcMar>
            <w:vAlign w:val="center"/>
          </w:tcPr>
          <w:p w14:paraId="13BA99DC">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60.82</w:t>
            </w:r>
          </w:p>
        </w:tc>
        <w:tc>
          <w:tcPr>
            <w:tcW w:w="1134" w:type="dxa"/>
            <w:tcMar>
              <w:left w:w="57" w:type="dxa"/>
              <w:right w:w="57" w:type="dxa"/>
            </w:tcMar>
            <w:vAlign w:val="center"/>
          </w:tcPr>
          <w:p w14:paraId="2413EBF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.17</w:t>
            </w:r>
          </w:p>
        </w:tc>
        <w:tc>
          <w:tcPr>
            <w:tcW w:w="1247" w:type="dxa"/>
            <w:tcMar>
              <w:left w:w="57" w:type="dxa"/>
              <w:right w:w="57" w:type="dxa"/>
            </w:tcMar>
            <w:vAlign w:val="center"/>
          </w:tcPr>
          <w:p w14:paraId="6737621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61.56</w:t>
            </w:r>
          </w:p>
        </w:tc>
        <w:tc>
          <w:tcPr>
            <w:tcW w:w="1134" w:type="dxa"/>
            <w:tcMar>
              <w:left w:w="57" w:type="dxa"/>
              <w:right w:w="57" w:type="dxa"/>
            </w:tcMar>
            <w:vAlign w:val="center"/>
          </w:tcPr>
          <w:p w14:paraId="762D54C9">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2</w:t>
            </w:r>
            <w:r>
              <w:rPr>
                <w:rFonts w:ascii="仿宋" w:hAnsi="仿宋" w:eastAsia="仿宋"/>
                <w:color w:val="000000" w:themeColor="text1"/>
                <w:sz w:val="24"/>
                <w:szCs w:val="24"/>
              </w:rPr>
              <w:t>.20</w:t>
            </w:r>
          </w:p>
        </w:tc>
        <w:tc>
          <w:tcPr>
            <w:tcW w:w="1247" w:type="dxa"/>
            <w:tcMar>
              <w:left w:w="57" w:type="dxa"/>
              <w:right w:w="57" w:type="dxa"/>
            </w:tcMar>
            <w:vAlign w:val="center"/>
          </w:tcPr>
          <w:p w14:paraId="694B2983">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0.74</w:t>
            </w:r>
          </w:p>
        </w:tc>
      </w:tr>
      <w:tr w14:paraId="6788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2244A7CD">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陆地水域</w:t>
            </w:r>
          </w:p>
        </w:tc>
        <w:tc>
          <w:tcPr>
            <w:tcW w:w="1247" w:type="dxa"/>
            <w:tcMar>
              <w:left w:w="57" w:type="dxa"/>
              <w:right w:w="57" w:type="dxa"/>
            </w:tcMar>
            <w:vAlign w:val="center"/>
          </w:tcPr>
          <w:p w14:paraId="39ABBE78">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53.55</w:t>
            </w:r>
          </w:p>
        </w:tc>
        <w:tc>
          <w:tcPr>
            <w:tcW w:w="1134" w:type="dxa"/>
            <w:tcMar>
              <w:left w:w="57" w:type="dxa"/>
              <w:right w:w="57" w:type="dxa"/>
            </w:tcMar>
            <w:vAlign w:val="center"/>
          </w:tcPr>
          <w:p w14:paraId="4AEECA1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1.91</w:t>
            </w:r>
          </w:p>
        </w:tc>
        <w:tc>
          <w:tcPr>
            <w:tcW w:w="1247" w:type="dxa"/>
            <w:tcMar>
              <w:left w:w="57" w:type="dxa"/>
              <w:right w:w="57" w:type="dxa"/>
            </w:tcMar>
            <w:vAlign w:val="center"/>
          </w:tcPr>
          <w:p w14:paraId="425F0D1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53.55</w:t>
            </w:r>
          </w:p>
        </w:tc>
        <w:tc>
          <w:tcPr>
            <w:tcW w:w="1134" w:type="dxa"/>
            <w:tcMar>
              <w:left w:w="57" w:type="dxa"/>
              <w:right w:w="57" w:type="dxa"/>
            </w:tcMar>
            <w:vAlign w:val="center"/>
          </w:tcPr>
          <w:p w14:paraId="2813E87B">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.91</w:t>
            </w:r>
          </w:p>
        </w:tc>
        <w:tc>
          <w:tcPr>
            <w:tcW w:w="1247" w:type="dxa"/>
            <w:tcMar>
              <w:left w:w="57" w:type="dxa"/>
              <w:right w:w="57" w:type="dxa"/>
            </w:tcMar>
            <w:vAlign w:val="center"/>
          </w:tcPr>
          <w:p w14:paraId="335CCD64">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6F58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4DDBD64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其他土地</w:t>
            </w:r>
          </w:p>
        </w:tc>
        <w:tc>
          <w:tcPr>
            <w:tcW w:w="1247" w:type="dxa"/>
            <w:tcMar>
              <w:left w:w="57" w:type="dxa"/>
              <w:right w:w="57" w:type="dxa"/>
            </w:tcMar>
            <w:vAlign w:val="center"/>
          </w:tcPr>
          <w:p w14:paraId="2A815025">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10.36</w:t>
            </w:r>
          </w:p>
        </w:tc>
        <w:tc>
          <w:tcPr>
            <w:tcW w:w="1134" w:type="dxa"/>
            <w:tcMar>
              <w:left w:w="57" w:type="dxa"/>
              <w:right w:w="57" w:type="dxa"/>
            </w:tcMar>
            <w:vAlign w:val="center"/>
          </w:tcPr>
          <w:p w14:paraId="4CE5771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0.37</w:t>
            </w:r>
          </w:p>
        </w:tc>
        <w:tc>
          <w:tcPr>
            <w:tcW w:w="1247" w:type="dxa"/>
            <w:tcMar>
              <w:left w:w="57" w:type="dxa"/>
              <w:right w:w="57" w:type="dxa"/>
            </w:tcMar>
            <w:vAlign w:val="center"/>
          </w:tcPr>
          <w:p w14:paraId="4009F47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10.36</w:t>
            </w:r>
          </w:p>
        </w:tc>
        <w:tc>
          <w:tcPr>
            <w:tcW w:w="1134" w:type="dxa"/>
            <w:tcMar>
              <w:left w:w="57" w:type="dxa"/>
              <w:right w:w="57" w:type="dxa"/>
            </w:tcMar>
            <w:vAlign w:val="center"/>
          </w:tcPr>
          <w:p w14:paraId="46784515">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0</w:t>
            </w:r>
            <w:r>
              <w:rPr>
                <w:rFonts w:ascii="仿宋" w:hAnsi="仿宋" w:eastAsia="仿宋"/>
                <w:color w:val="000000" w:themeColor="text1"/>
                <w:sz w:val="24"/>
                <w:szCs w:val="24"/>
              </w:rPr>
              <w:t>.37</w:t>
            </w:r>
          </w:p>
        </w:tc>
        <w:tc>
          <w:tcPr>
            <w:tcW w:w="1247" w:type="dxa"/>
            <w:tcMar>
              <w:left w:w="57" w:type="dxa"/>
              <w:right w:w="57" w:type="dxa"/>
            </w:tcMar>
            <w:vAlign w:val="center"/>
          </w:tcPr>
          <w:p w14:paraId="0D7001FA">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r w14:paraId="6F8D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798" w:type="dxa"/>
            <w:gridSpan w:val="3"/>
            <w:tcMar>
              <w:left w:w="57" w:type="dxa"/>
              <w:right w:w="57" w:type="dxa"/>
            </w:tcMar>
            <w:vAlign w:val="center"/>
          </w:tcPr>
          <w:p w14:paraId="579F5FF8">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村域范围总面积</w:t>
            </w:r>
          </w:p>
        </w:tc>
        <w:tc>
          <w:tcPr>
            <w:tcW w:w="1247" w:type="dxa"/>
            <w:tcMar>
              <w:left w:w="57" w:type="dxa"/>
              <w:right w:w="57" w:type="dxa"/>
            </w:tcMar>
            <w:vAlign w:val="center"/>
          </w:tcPr>
          <w:p w14:paraId="6664BE4B">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2803.04</w:t>
            </w:r>
          </w:p>
        </w:tc>
        <w:tc>
          <w:tcPr>
            <w:tcW w:w="1134" w:type="dxa"/>
            <w:tcMar>
              <w:left w:w="57" w:type="dxa"/>
              <w:right w:w="57" w:type="dxa"/>
            </w:tcMar>
            <w:vAlign w:val="center"/>
          </w:tcPr>
          <w:p w14:paraId="0951F8C0">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100</w:t>
            </w:r>
          </w:p>
        </w:tc>
        <w:tc>
          <w:tcPr>
            <w:tcW w:w="1247" w:type="dxa"/>
            <w:tcMar>
              <w:left w:w="57" w:type="dxa"/>
              <w:right w:w="57" w:type="dxa"/>
            </w:tcMar>
            <w:vAlign w:val="center"/>
          </w:tcPr>
          <w:p w14:paraId="4004B79E">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2803.04</w:t>
            </w:r>
          </w:p>
        </w:tc>
        <w:tc>
          <w:tcPr>
            <w:tcW w:w="1134" w:type="dxa"/>
            <w:tcMar>
              <w:left w:w="57" w:type="dxa"/>
              <w:right w:w="57" w:type="dxa"/>
            </w:tcMar>
            <w:vAlign w:val="center"/>
          </w:tcPr>
          <w:p w14:paraId="27AC65A7">
            <w:pPr>
              <w:pStyle w:val="8"/>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00</w:t>
            </w:r>
          </w:p>
        </w:tc>
        <w:tc>
          <w:tcPr>
            <w:tcW w:w="1247" w:type="dxa"/>
            <w:tcMar>
              <w:left w:w="57" w:type="dxa"/>
              <w:right w:w="57" w:type="dxa"/>
            </w:tcMar>
            <w:vAlign w:val="center"/>
          </w:tcPr>
          <w:p w14:paraId="574B4B81">
            <w:pPr>
              <w:pStyle w:val="8"/>
              <w:jc w:val="center"/>
              <w:rPr>
                <w:rFonts w:ascii="仿宋" w:hAnsi="仿宋" w:eastAsia="仿宋"/>
                <w:color w:val="000000" w:themeColor="text1"/>
                <w:sz w:val="24"/>
                <w:szCs w:val="24"/>
              </w:rPr>
            </w:pPr>
            <w:r>
              <w:rPr>
                <w:rFonts w:ascii="仿宋" w:hAnsi="仿宋" w:eastAsia="仿宋"/>
                <w:color w:val="000000" w:themeColor="text1"/>
                <w:sz w:val="24"/>
                <w:szCs w:val="24"/>
              </w:rPr>
              <w:t>0</w:t>
            </w:r>
          </w:p>
        </w:tc>
      </w:tr>
    </w:tbl>
    <w:p w14:paraId="07F72CB1">
      <w:pPr>
        <w:rPr>
          <w:color w:val="000000" w:themeColor="text1"/>
        </w:rPr>
      </w:pPr>
    </w:p>
    <w:p w14:paraId="3DFEA6A0">
      <w:pPr>
        <w:rPr>
          <w:color w:val="000000" w:themeColor="text1"/>
        </w:rPr>
      </w:pPr>
    </w:p>
    <w:bookmarkEnd w:id="4"/>
    <w:p w14:paraId="71361E2A">
      <w:pPr>
        <w:pStyle w:val="7"/>
        <w:ind w:firstLine="440" w:firstLineChars="200"/>
        <w:jc w:val="center"/>
        <w:rPr>
          <w:rFonts w:ascii="仿宋" w:hAnsi="仿宋" w:eastAsia="仿宋"/>
          <w:color w:val="000000" w:themeColor="text1"/>
          <w:sz w:val="22"/>
          <w:szCs w:val="22"/>
          <w:lang w:val="en-US"/>
        </w:rPr>
      </w:pPr>
    </w:p>
    <w:p w14:paraId="79C5C92C">
      <w:pPr>
        <w:pStyle w:val="3"/>
        <w:keepNext w:val="0"/>
        <w:keepLines w:val="0"/>
        <w:pageBreakBefore/>
        <w:widowControl w:val="0"/>
        <w:kinsoku/>
        <w:wordWrap/>
        <w:overflowPunct/>
        <w:topLinePunct w:val="0"/>
        <w:bidi w:val="0"/>
        <w:adjustRightInd w:val="0"/>
        <w:snapToGrid w:val="0"/>
        <w:spacing w:beforeLines="50" w:line="360" w:lineRule="auto"/>
        <w:ind w:left="0"/>
        <w:textAlignment w:val="auto"/>
        <w:rPr>
          <w:rFonts w:ascii="黑体" w:hAnsi="黑体" w:eastAsia="黑体"/>
          <w:b/>
          <w:bCs/>
          <w:color w:val="000000" w:themeColor="text1"/>
          <w:sz w:val="30"/>
          <w:szCs w:val="30"/>
        </w:rPr>
      </w:pPr>
      <w:r>
        <w:rPr>
          <w:rFonts w:ascii="黑体" w:hAnsi="黑体" w:eastAsia="黑体"/>
          <w:b/>
          <w:bCs/>
          <w:color w:val="000000" w:themeColor="text1"/>
          <w:sz w:val="30"/>
          <w:szCs w:val="30"/>
        </w:rPr>
        <w:t>4</w:t>
      </w:r>
      <w:r>
        <w:rPr>
          <w:rFonts w:hint="eastAsia" w:ascii="黑体" w:hAnsi="黑体" w:eastAsia="黑体"/>
          <w:b/>
          <w:bCs/>
          <w:color w:val="000000" w:themeColor="text1"/>
          <w:sz w:val="30"/>
          <w:szCs w:val="30"/>
        </w:rPr>
        <w:t>.2 居民点用地规划</w:t>
      </w:r>
    </w:p>
    <w:p w14:paraId="3B3CE3E1">
      <w:pPr>
        <w:keepNext w:val="0"/>
        <w:keepLines w:val="0"/>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4.2.1村庄分型</w:t>
      </w:r>
    </w:p>
    <w:p w14:paraId="7E32EA1E">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综合考虑地形地貌、生态保护、区位交通、发展条件等因素，将村域内自然屯划分为增量型、等量型、减量型三种自然屯。</w:t>
      </w:r>
    </w:p>
    <w:p w14:paraId="154D48F4">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增量型1个，前田屯。依托于良好的生态环境与旅游资源，前田屯现状旅游业发展较好，得天独厚的旅游资源，智慧化的旅游宣传模式，使得近年来前田屯旅游业发展增增日上，游客量逐年增多，目前旅游服务设施已明显不足，急需升级完善相应配套设施，以满足游客多样化的旅游需求。</w:t>
      </w:r>
    </w:p>
    <w:p w14:paraId="345008FF">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仿宋_GB2312" w:hAnsi="仿宋_GB2312" w:eastAsia="仿宋_GB2312" w:cs="仿宋_GB2312"/>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减量型3个，包括蛮岭屯、福太屯和东地屯。目前郭家村有少量宅基地位于生态保护红线内，因受到生态保护红线管控要求，位于生态保护红线内居民点需要逐步搬迁，保障生态系统的完整性和稳定性。</w:t>
      </w:r>
    </w:p>
    <w:p w14:paraId="53235516">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等量型12个，包括郭家屯、岗子屯、潘屯、后田屯、盘道屯、东房身屯、张屯、河南屯、仁沟屯、马屯、城沟屯、马岭屯。</w:t>
      </w:r>
    </w:p>
    <w:p w14:paraId="74612E58">
      <w:pPr>
        <w:keepNext w:val="0"/>
        <w:keepLines w:val="0"/>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4.2.2农村宅基地</w:t>
      </w:r>
    </w:p>
    <w:p w14:paraId="36EC9406">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theme="minorBidi"/>
          <w:color w:val="000000" w:themeColor="text1"/>
          <w:kern w:val="2"/>
          <w:sz w:val="28"/>
          <w:szCs w:val="28"/>
          <w:lang w:val="en-US" w:bidi="ar-SA"/>
        </w:rPr>
      </w:pPr>
      <w:r>
        <w:rPr>
          <w:rFonts w:hint="eastAsia" w:ascii="仿宋_GB2312" w:hAnsi="仿宋_GB2312" w:eastAsia="仿宋_GB2312" w:cs="仿宋_GB2312"/>
          <w:color w:val="000000" w:themeColor="text1"/>
          <w:kern w:val="2"/>
          <w:sz w:val="28"/>
          <w:szCs w:val="28"/>
          <w:lang w:val="en-US" w:bidi="ar-SA"/>
        </w:rPr>
        <w:t>由于受到外界因素影响和自身发展条件限制，郭家村近几年人口呈递减趋势，结合庄河市以及荷花山镇人口发展趋势，郭家村人口将持续减少，闲置宅基地将不断增加，呈现出收缩发展态势。考虑人口的不断减少，规划农村宅基地和常住人口均有所下降。因受生态保护红线政策影响，宅基地减少主要来源于生态保护红线内居民点迁出以及边远山地内零散居民点迁出，迁出村民优先利用空置宅基地进行安置，节约集约利用土地。</w:t>
      </w:r>
    </w:p>
    <w:p w14:paraId="342C0D82">
      <w:pPr>
        <w:keepNext w:val="0"/>
        <w:keepLines w:val="0"/>
        <w:widowControl w:val="0"/>
        <w:kinsoku/>
        <w:wordWrap/>
        <w:overflowPunct/>
        <w:topLinePunct w:val="0"/>
        <w:autoSpaceDE/>
        <w:autoSpaceDN/>
        <w:bidi w:val="0"/>
        <w:adjustRightInd w:val="0"/>
        <w:snapToGrid w:val="0"/>
        <w:spacing w:line="360" w:lineRule="auto"/>
        <w:jc w:val="both"/>
        <w:textAlignment w:val="auto"/>
        <w:outlineLvl w:val="2"/>
        <w:rPr>
          <w:rFonts w:ascii="仿宋" w:hAnsi="仿宋" w:eastAsia="仿宋" w:cstheme="minorBidi"/>
          <w:b/>
          <w:color w:val="000000" w:themeColor="text1"/>
          <w:kern w:val="2"/>
          <w:sz w:val="30"/>
          <w:szCs w:val="30"/>
          <w:lang w:val="en-US" w:bidi="ar-SA"/>
        </w:rPr>
      </w:pPr>
      <w:r>
        <w:rPr>
          <w:rFonts w:hint="eastAsia" w:ascii="仿宋_GB2312" w:hAnsi="仿宋_GB2312" w:eastAsia="仿宋_GB2312" w:cs="仿宋_GB2312"/>
          <w:b/>
          <w:color w:val="000000" w:themeColor="text1"/>
          <w:kern w:val="2"/>
          <w:sz w:val="30"/>
          <w:szCs w:val="30"/>
          <w:lang w:val="en-US" w:bidi="ar-SA"/>
        </w:rPr>
        <w:t>4.2.3集体经营性建设用地</w:t>
      </w:r>
    </w:p>
    <w:p w14:paraId="256399A5">
      <w:pPr>
        <w:keepNext w:val="0"/>
        <w:keepLines w:val="0"/>
        <w:widowControl w:val="0"/>
        <w:kinsoku/>
        <w:wordWrap/>
        <w:overflowPunct/>
        <w:topLinePunct w:val="0"/>
        <w:autoSpaceDE/>
        <w:autoSpaceDN/>
        <w:bidi w:val="0"/>
        <w:adjustRightInd w:val="0"/>
        <w:snapToGrid w:val="0"/>
        <w:spacing w:line="360" w:lineRule="auto"/>
        <w:ind w:firstLine="560" w:firstLineChars="200"/>
        <w:jc w:val="both"/>
        <w:textAlignment w:val="auto"/>
        <w:rPr>
          <w:color w:val="000000" w:themeColor="text1"/>
        </w:rPr>
      </w:pPr>
      <w:r>
        <w:rPr>
          <w:rFonts w:hint="eastAsia" w:ascii="仿宋_GB2312" w:hAnsi="仿宋_GB2312" w:eastAsia="仿宋_GB2312" w:cs="仿宋_GB2312"/>
          <w:color w:val="000000" w:themeColor="text1"/>
          <w:kern w:val="2"/>
          <w:sz w:val="28"/>
          <w:szCs w:val="28"/>
          <w:lang w:val="en-US" w:bidi="ar-SA"/>
        </w:rPr>
        <w:t>村域内集体经营性建设用地主要为商业服务业用地和工业用地，用地面积3.25公顷。商业服务业用地主要为位于</w:t>
      </w:r>
      <w:r>
        <w:rPr>
          <w:rFonts w:hint="eastAsia" w:ascii="仿宋_GB2312" w:hAnsi="仿宋_GB2312" w:eastAsia="仿宋_GB2312" w:cs="仿宋_GB2312"/>
          <w:color w:val="000000" w:themeColor="text1"/>
          <w:kern w:val="2"/>
          <w:sz w:val="28"/>
          <w:szCs w:val="28"/>
          <w:lang w:val="en-US" w:eastAsia="zh-CN" w:bidi="ar-SA"/>
        </w:rPr>
        <w:t>潘屯</w:t>
      </w:r>
      <w:r>
        <w:rPr>
          <w:rFonts w:hint="eastAsia" w:ascii="仿宋_GB2312" w:hAnsi="仿宋_GB2312" w:eastAsia="仿宋_GB2312" w:cs="仿宋_GB2312"/>
          <w:color w:val="000000" w:themeColor="text1"/>
          <w:kern w:val="2"/>
          <w:sz w:val="28"/>
          <w:szCs w:val="28"/>
          <w:lang w:val="en-US" w:bidi="ar-SA"/>
        </w:rPr>
        <w:t>现状春天便利店，用地面积0.25公顷，规划予以保留；位于前田屯规划新增旅游服务用地，用以保障旅游业发展，用地面积1.72公顷；位于张屯山中绿食品有限公司，用地面积0,71公顷，目前处于闲置状态，规划保留其用地性质，为郭家村未来发展预留空间，并提供用地保障；位于城沟屯现状花山湖风景区的接待设施，用地面积0.28公顷，规划予以保留。工业用地为位于郭家屯液压件厂，用地面积0.29公顷，目前处于闲置状态，规划保留其用地性质，根据郭家村未来发展需求，引入相应的产业类型，促进一二三产融合发展，助力乡村振兴。</w:t>
      </w:r>
    </w:p>
    <w:p w14:paraId="5B38A3BC">
      <w:pPr>
        <w:pStyle w:val="3"/>
        <w:keepNext w:val="0"/>
        <w:keepLines w:val="0"/>
        <w:widowControl w:val="0"/>
        <w:kinsoku/>
        <w:wordWrap/>
        <w:overflowPunct/>
        <w:topLinePunct w:val="0"/>
        <w:bidi w:val="0"/>
        <w:adjustRightInd w:val="0"/>
        <w:snapToGrid w:val="0"/>
        <w:spacing w:line="360" w:lineRule="auto"/>
        <w:ind w:left="0"/>
        <w:textAlignment w:val="auto"/>
        <w:rPr>
          <w:rFonts w:ascii="黑体" w:hAnsi="黑体" w:eastAsia="黑体"/>
          <w:b/>
          <w:bCs/>
          <w:color w:val="000000" w:themeColor="text1"/>
          <w:sz w:val="30"/>
          <w:szCs w:val="30"/>
        </w:rPr>
      </w:pPr>
      <w:r>
        <w:rPr>
          <w:rFonts w:ascii="黑体" w:hAnsi="黑体" w:eastAsia="黑体"/>
          <w:b w:val="0"/>
          <w:bCs w:val="0"/>
          <w:color w:val="000000" w:themeColor="text1"/>
          <w:sz w:val="30"/>
          <w:szCs w:val="30"/>
        </w:rPr>
        <w:t xml:space="preserve">4.3 </w:t>
      </w:r>
      <w:r>
        <w:rPr>
          <w:rFonts w:hint="eastAsia" w:ascii="黑体" w:hAnsi="黑体" w:eastAsia="黑体"/>
          <w:b w:val="0"/>
          <w:bCs w:val="0"/>
          <w:color w:val="000000" w:themeColor="text1"/>
          <w:sz w:val="30"/>
          <w:szCs w:val="30"/>
        </w:rPr>
        <w:t>公共设施规划</w:t>
      </w:r>
    </w:p>
    <w:p w14:paraId="07297D7E">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1)</w:t>
      </w:r>
      <w:r>
        <w:rPr>
          <w:rFonts w:hint="eastAsia" w:ascii="仿宋_GB2312" w:hAnsi="仿宋_GB2312" w:eastAsia="仿宋_GB2312" w:cs="仿宋_GB2312"/>
          <w:color w:val="000000" w:themeColor="text1"/>
          <w:sz w:val="28"/>
          <w:szCs w:val="28"/>
        </w:rPr>
        <w:t>规划结合现状村委会设施，合并配置村民服务中心，提升完善其综合功能。保留现有社区服务、活动室功能，增加农家书屋、村务室等服务功能，形成一处综合的村民服务中心。</w:t>
      </w:r>
    </w:p>
    <w:p w14:paraId="6DEAD02A">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2)</w:t>
      </w:r>
      <w:r>
        <w:rPr>
          <w:rFonts w:hint="eastAsia" w:ascii="仿宋_GB2312" w:hAnsi="仿宋_GB2312" w:eastAsia="仿宋_GB2312" w:cs="仿宋_GB2312"/>
          <w:color w:val="000000" w:themeColor="text1"/>
          <w:sz w:val="28"/>
          <w:szCs w:val="28"/>
        </w:rPr>
        <w:t>现状村委会内的卫生室，建筑面积较小，且现有的村委会规模较小，不适合原址扩建。因此规划将卫生室搬至位于郭家屯北坡的现已荒废的村委会旧址用地，同时增加老年人日间照料中心、老年活动室功能，形成一处医疗与福利设施于一体的次服务中心。</w:t>
      </w:r>
    </w:p>
    <w:p w14:paraId="2795565A">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3)</w:t>
      </w:r>
      <w:r>
        <w:rPr>
          <w:rFonts w:hint="eastAsia" w:ascii="仿宋_GB2312" w:hAnsi="仿宋_GB2312" w:eastAsia="仿宋_GB2312" w:cs="仿宋_GB2312"/>
          <w:color w:val="000000" w:themeColor="text1"/>
          <w:sz w:val="28"/>
          <w:szCs w:val="28"/>
        </w:rPr>
        <w:t>规划于郭家屯北坡地的原郭家屯老小学旧址用地，建设一处养老院产业基地，即作为养老产业项目，同时完善老年人服务设施建设。</w:t>
      </w:r>
    </w:p>
    <w:p w14:paraId="5E37F357">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4)</w:t>
      </w:r>
      <w:r>
        <w:rPr>
          <w:rFonts w:hint="eastAsia" w:ascii="仿宋_GB2312" w:hAnsi="仿宋_GB2312" w:eastAsia="仿宋_GB2312" w:cs="仿宋_GB2312"/>
          <w:color w:val="000000" w:themeColor="text1"/>
          <w:sz w:val="28"/>
          <w:szCs w:val="28"/>
        </w:rPr>
        <w:t>结合现状有快递代发业务的商业销售点，完善标准化快递投放点建设。</w:t>
      </w:r>
    </w:p>
    <w:p w14:paraId="14832264">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5)</w:t>
      </w:r>
      <w:r>
        <w:rPr>
          <w:rFonts w:hint="eastAsia" w:ascii="仿宋_GB2312" w:hAnsi="仿宋_GB2312" w:eastAsia="仿宋_GB2312" w:cs="仿宋_GB2312"/>
          <w:color w:val="000000" w:themeColor="text1"/>
          <w:sz w:val="28"/>
          <w:szCs w:val="28"/>
        </w:rPr>
        <w:t>在现有的4处休闲广场基础上，继续完善每个自然屯的休闲广场建设，实现室外休闲活动场地的全覆盖。休闲广场的建设应做到铺装与绿化相结合，健身器材与景观小品相结合，室外家具与风貌相融合，打造休闲健身、文体科娱为一体的乡村特色开敞空间。</w:t>
      </w:r>
    </w:p>
    <w:p w14:paraId="0FB348B8">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6)</w:t>
      </w:r>
      <w:r>
        <w:rPr>
          <w:rFonts w:hint="eastAsia" w:ascii="仿宋_GB2312" w:hAnsi="仿宋_GB2312" w:eastAsia="仿宋_GB2312" w:cs="仿宋_GB2312"/>
          <w:color w:val="000000" w:themeColor="text1"/>
          <w:sz w:val="28"/>
          <w:szCs w:val="28"/>
        </w:rPr>
        <w:t>规划于下泉眼乡情度假农庄农家院南侧用地上，增建一处综合旅游服务中心，规划用地面积1.7公顷。综合功能包括游客接待、村文化展示、农产品展销、电商基地，同时结合此处增加公共厕所、停车场、垃圾收集点，形成下泉眼游客服务基础设施，推动文旅、农旅产业发展。</w:t>
      </w:r>
    </w:p>
    <w:p w14:paraId="009A3426">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7)</w:t>
      </w:r>
      <w:r>
        <w:rPr>
          <w:rFonts w:hint="eastAsia" w:ascii="仿宋_GB2312" w:hAnsi="仿宋_GB2312" w:eastAsia="仿宋_GB2312" w:cs="仿宋_GB2312"/>
          <w:color w:val="000000" w:themeColor="text1"/>
          <w:sz w:val="28"/>
          <w:szCs w:val="28"/>
        </w:rPr>
        <w:t>结合下泉眼的自然资源及现有露营基地口碑，推进特色民宿的建设，展现郭家村依山傍水、清幽静雅的风情。</w:t>
      </w:r>
    </w:p>
    <w:p w14:paraId="179130B3">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lang w:val="en-US" w:eastAsia="zh-CN"/>
        </w:rPr>
        <w:t>8)</w:t>
      </w:r>
      <w:r>
        <w:rPr>
          <w:rFonts w:hint="eastAsia" w:ascii="仿宋_GB2312" w:hAnsi="仿宋_GB2312" w:eastAsia="仿宋_GB2312" w:cs="仿宋_GB2312"/>
          <w:color w:val="000000" w:themeColor="text1"/>
          <w:sz w:val="28"/>
          <w:szCs w:val="28"/>
        </w:rPr>
        <w:t>规划于岗子屯北山新增村域殡葬设施（公墓）。</w:t>
      </w:r>
    </w:p>
    <w:p w14:paraId="34FE7A0E">
      <w:pPr>
        <w:pStyle w:val="22"/>
        <w:keepNext w:val="0"/>
        <w:keepLines w:val="0"/>
        <w:widowControl w:val="0"/>
        <w:numPr>
          <w:ilvl w:val="0"/>
          <w:numId w:val="0"/>
        </w:numPr>
        <w:kinsoku/>
        <w:wordWrap/>
        <w:overflowPunct/>
        <w:topLinePunct w:val="0"/>
        <w:bidi w:val="0"/>
        <w:adjustRightInd w:val="0"/>
        <w:snapToGrid w:val="0"/>
        <w:spacing w:line="360" w:lineRule="auto"/>
        <w:ind w:firstLine="560" w:firstLineChars="200"/>
        <w:textAlignment w:val="auto"/>
        <w:rPr>
          <w:rFonts w:ascii="仿宋" w:hAnsi="仿宋"/>
          <w:color w:val="000000" w:themeColor="text1"/>
          <w:sz w:val="28"/>
          <w:szCs w:val="28"/>
        </w:rPr>
      </w:pPr>
      <w:r>
        <w:rPr>
          <w:rFonts w:hint="eastAsia" w:ascii="仿宋_GB2312" w:hAnsi="仿宋_GB2312" w:eastAsia="仿宋_GB2312" w:cs="仿宋_GB2312"/>
          <w:color w:val="000000" w:themeColor="text1"/>
          <w:sz w:val="28"/>
          <w:szCs w:val="28"/>
          <w:lang w:val="en-US" w:eastAsia="zh-CN"/>
        </w:rPr>
        <w:t>9)</w:t>
      </w:r>
      <w:r>
        <w:rPr>
          <w:rFonts w:hint="eastAsia" w:ascii="仿宋_GB2312" w:hAnsi="仿宋_GB2312" w:eastAsia="仿宋_GB2312" w:cs="仿宋_GB2312"/>
          <w:color w:val="000000" w:themeColor="text1"/>
          <w:sz w:val="28"/>
          <w:szCs w:val="28"/>
        </w:rPr>
        <w:t>花山湖风景旅游休闲度假区作为一个重要旅游区，规划期内积极推动其完善及运营，将花山湖风景区打造为集山水体验、古迹游览、养生度假等功能于一体的理由度假目的地。</w:t>
      </w:r>
    </w:p>
    <w:p w14:paraId="49BA3DDE">
      <w:pPr>
        <w:pStyle w:val="7"/>
        <w:ind w:firstLine="440" w:firstLineChars="200"/>
        <w:jc w:val="center"/>
        <w:rPr>
          <w:rFonts w:ascii="仿宋" w:hAnsi="仿宋" w:eastAsia="仿宋"/>
          <w:color w:val="000000" w:themeColor="text1"/>
          <w:sz w:val="22"/>
          <w:szCs w:val="22"/>
          <w:lang w:val="en-US"/>
        </w:rPr>
      </w:pPr>
      <w:r>
        <w:rPr>
          <w:rFonts w:ascii="仿宋" w:hAnsi="仿宋" w:eastAsia="仿宋"/>
          <w:color w:val="000000" w:themeColor="text1"/>
          <w:sz w:val="22"/>
          <w:szCs w:val="22"/>
          <w:lang w:val="en-US" w:bidi="ar-SA"/>
        </w:rPr>
        <w:drawing>
          <wp:anchor distT="0" distB="0" distL="114300" distR="114300" simplePos="0" relativeHeight="251660288" behindDoc="0" locked="0" layoutInCell="1" allowOverlap="1">
            <wp:simplePos x="0" y="0"/>
            <wp:positionH relativeFrom="column">
              <wp:posOffset>3175</wp:posOffset>
            </wp:positionH>
            <wp:positionV relativeFrom="paragraph">
              <wp:posOffset>212090</wp:posOffset>
            </wp:positionV>
            <wp:extent cx="6120130" cy="8658860"/>
            <wp:effectExtent l="0" t="0" r="0" b="889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8860"/>
                    </a:xfrm>
                    <a:prstGeom prst="rect">
                      <a:avLst/>
                    </a:prstGeom>
                  </pic:spPr>
                </pic:pic>
              </a:graphicData>
            </a:graphic>
          </wp:anchor>
        </w:drawing>
      </w:r>
    </w:p>
    <w:p w14:paraId="635DC69D">
      <w:pPr>
        <w:pStyle w:val="7"/>
        <w:spacing w:line="560" w:lineRule="exact"/>
        <w:ind w:firstLine="440" w:firstLineChars="200"/>
        <w:jc w:val="both"/>
        <w:rPr>
          <w:rFonts w:ascii="仿宋" w:hAnsi="仿宋" w:eastAsia="仿宋"/>
          <w:color w:val="000000" w:themeColor="text1"/>
          <w:sz w:val="22"/>
          <w:szCs w:val="22"/>
          <w:lang w:val="en-US"/>
        </w:rPr>
      </w:pPr>
      <w:r>
        <w:rPr>
          <w:rFonts w:ascii="仿宋" w:hAnsi="仿宋" w:eastAsia="仿宋"/>
          <w:color w:val="000000" w:themeColor="text1"/>
          <w:sz w:val="22"/>
          <w:szCs w:val="22"/>
          <w:lang w:val="en-US" w:bidi="ar-SA"/>
        </w:rPr>
        <w:drawing>
          <wp:anchor distT="0" distB="0" distL="114300" distR="114300" simplePos="0" relativeHeight="251659264" behindDoc="0" locked="0" layoutInCell="1" allowOverlap="1">
            <wp:simplePos x="0" y="0"/>
            <wp:positionH relativeFrom="column">
              <wp:posOffset>1905</wp:posOffset>
            </wp:positionH>
            <wp:positionV relativeFrom="paragraph">
              <wp:posOffset>216535</wp:posOffset>
            </wp:positionV>
            <wp:extent cx="6120130" cy="865822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8658000"/>
                    </a:xfrm>
                    <a:prstGeom prst="rect">
                      <a:avLst/>
                    </a:prstGeom>
                  </pic:spPr>
                </pic:pic>
              </a:graphicData>
            </a:graphic>
          </wp:anchor>
        </w:drawing>
      </w:r>
    </w:p>
    <w:p w14:paraId="31E95CC8">
      <w:pPr>
        <w:widowControl/>
        <w:autoSpaceDE/>
        <w:autoSpaceDN/>
        <w:rPr>
          <w:rFonts w:ascii="仿宋" w:hAnsi="仿宋" w:eastAsia="仿宋"/>
          <w:color w:val="000000" w:themeColor="text1"/>
          <w:lang w:val="en-US"/>
        </w:rPr>
      </w:pPr>
      <w:r>
        <w:rPr>
          <w:rFonts w:hint="eastAsia" w:ascii="仿宋" w:hAnsi="仿宋" w:eastAsia="仿宋"/>
          <w:color w:val="000000" w:themeColor="text1"/>
          <w:lang w:val="en-US" w:bidi="ar-SA"/>
        </w:rPr>
        <w:drawing>
          <wp:anchor distT="0" distB="0" distL="114300" distR="114300" simplePos="0" relativeHeight="251661312" behindDoc="0" locked="0" layoutInCell="1" allowOverlap="0">
            <wp:simplePos x="0" y="0"/>
            <wp:positionH relativeFrom="column">
              <wp:posOffset>13335</wp:posOffset>
            </wp:positionH>
            <wp:positionV relativeFrom="paragraph">
              <wp:posOffset>214630</wp:posOffset>
            </wp:positionV>
            <wp:extent cx="6124575" cy="8658225"/>
            <wp:effectExtent l="19050" t="0" r="9525" b="0"/>
            <wp:wrapTopAndBottom/>
            <wp:docPr id="1" name="图片 0" descr="13 公共设施规划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3 公共设施规划图-22.jpg"/>
                    <pic:cNvPicPr>
                      <a:picLocks noChangeAspect="1"/>
                    </pic:cNvPicPr>
                  </pic:nvPicPr>
                  <pic:blipFill>
                    <a:blip r:embed="rId13" cstate="print"/>
                    <a:stretch>
                      <a:fillRect/>
                    </a:stretch>
                  </pic:blipFill>
                  <pic:spPr>
                    <a:xfrm>
                      <a:off x="0" y="0"/>
                      <a:ext cx="6124575" cy="8658225"/>
                    </a:xfrm>
                    <a:prstGeom prst="rect">
                      <a:avLst/>
                    </a:prstGeom>
                  </pic:spPr>
                </pic:pic>
              </a:graphicData>
            </a:graphic>
          </wp:anchor>
        </w:drawing>
      </w:r>
    </w:p>
    <w:sectPr>
      <w:footerReference r:id="rId8" w:type="default"/>
      <w:pgSz w:w="11906" w:h="16838"/>
      <w:pgMar w:top="1417" w:right="1134" w:bottom="1417" w:left="1134"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00290">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94FAA">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2C367">
    <w:pPr>
      <w:pStyle w:val="7"/>
      <w:spacing w:line="14" w:lineRule="auto"/>
      <w:rPr>
        <w:sz w:val="20"/>
      </w:rPr>
    </w:pPr>
    <w:r>
      <w:rPr>
        <w:sz w:val="20"/>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0D947034">
                <w:pPr>
                  <w:pStyle w:val="11"/>
                </w:pPr>
                <w:r>
                  <w:fldChar w:fldCharType="begin"/>
                </w:r>
                <w:r>
                  <w:instrText xml:space="preserve"> PAGE  \* MERGEFORMAT </w:instrText>
                </w:r>
                <w:r>
                  <w:fldChar w:fldCharType="separate"/>
                </w:r>
                <w:r>
                  <w:t>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86192">
    <w:pPr>
      <w:pStyle w:val="12"/>
      <w:rPr>
        <w:rFonts w:ascii="黑体" w:hAnsi="黑体" w:eastAsia="黑体"/>
      </w:rPr>
    </w:pPr>
    <w:r>
      <w:rPr>
        <w:rFonts w:hint="eastAsia" w:ascii="黑体" w:hAnsi="黑体" w:eastAsia="黑体"/>
      </w:rPr>
      <w:t>大连</w:t>
    </w:r>
    <w:r>
      <w:rPr>
        <w:rFonts w:hint="eastAsia" w:ascii="黑体" w:hAnsi="黑体" w:eastAsia="黑体"/>
        <w:color w:val="202A35"/>
      </w:rPr>
      <w:t>庄河市</w:t>
    </w:r>
    <w:r>
      <w:rPr>
        <w:rFonts w:hint="eastAsia" w:ascii="黑体" w:hAnsi="黑体" w:eastAsia="黑体"/>
        <w:color w:val="202A35"/>
        <w:lang w:val="en-US"/>
      </w:rPr>
      <w:t>荷花山镇郭家村</w:t>
    </w:r>
    <w:r>
      <w:rPr>
        <w:rFonts w:hint="eastAsia" w:ascii="黑体" w:hAnsi="黑体" w:eastAsia="黑体"/>
      </w:rPr>
      <w:t>村庄规划（</w:t>
    </w:r>
    <w:r>
      <w:rPr>
        <w:rFonts w:ascii="黑体" w:hAnsi="黑体" w:eastAsia="黑体" w:cs="Times New Roman"/>
      </w:rPr>
      <w:t>202</w:t>
    </w:r>
    <w:r>
      <w:rPr>
        <w:rFonts w:hint="eastAsia" w:ascii="黑体" w:hAnsi="黑体" w:eastAsia="黑体" w:cs="Times New Roman"/>
        <w:lang w:val="en-US"/>
      </w:rPr>
      <w:t>1</w:t>
    </w:r>
    <w:r>
      <w:rPr>
        <w:rFonts w:ascii="黑体" w:hAnsi="黑体" w:eastAsia="黑体" w:cs="Times New Roman"/>
      </w:rPr>
      <w:t>-2035</w:t>
    </w:r>
    <w:r>
      <w:rPr>
        <w:rFonts w:hint="eastAsia" w:ascii="黑体" w:hAnsi="黑体" w:eastAsia="黑体"/>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DDDBA">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EC163">
    <w:pPr>
      <w:pStyle w:val="12"/>
      <w:pBdr>
        <w:bottom w:val="none" w:color="auto" w:sz="0" w:space="0"/>
      </w:pBd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3F6A1098"/>
    <w:rsid w:val="00053ECF"/>
    <w:rsid w:val="001A3B77"/>
    <w:rsid w:val="001D34B7"/>
    <w:rsid w:val="002520C4"/>
    <w:rsid w:val="00353B32"/>
    <w:rsid w:val="00440D3B"/>
    <w:rsid w:val="0048073D"/>
    <w:rsid w:val="00494FC2"/>
    <w:rsid w:val="00502947"/>
    <w:rsid w:val="00515657"/>
    <w:rsid w:val="005426E9"/>
    <w:rsid w:val="00550512"/>
    <w:rsid w:val="00587C84"/>
    <w:rsid w:val="005A3F2E"/>
    <w:rsid w:val="00720BC1"/>
    <w:rsid w:val="00761FC6"/>
    <w:rsid w:val="00765C3D"/>
    <w:rsid w:val="00774033"/>
    <w:rsid w:val="007A1F6B"/>
    <w:rsid w:val="00805B06"/>
    <w:rsid w:val="00971B76"/>
    <w:rsid w:val="00982253"/>
    <w:rsid w:val="00A04AAD"/>
    <w:rsid w:val="00B00DED"/>
    <w:rsid w:val="00B10737"/>
    <w:rsid w:val="00BE4752"/>
    <w:rsid w:val="00BE527D"/>
    <w:rsid w:val="00C007D8"/>
    <w:rsid w:val="00C41C54"/>
    <w:rsid w:val="00C70A6C"/>
    <w:rsid w:val="00CC4E55"/>
    <w:rsid w:val="00D5309A"/>
    <w:rsid w:val="00E05E03"/>
    <w:rsid w:val="00E16F85"/>
    <w:rsid w:val="00E72B22"/>
    <w:rsid w:val="00F20139"/>
    <w:rsid w:val="00F608C4"/>
    <w:rsid w:val="097D4038"/>
    <w:rsid w:val="12955E7E"/>
    <w:rsid w:val="1B620A92"/>
    <w:rsid w:val="2640363B"/>
    <w:rsid w:val="27140F61"/>
    <w:rsid w:val="2980246A"/>
    <w:rsid w:val="36037AAE"/>
    <w:rsid w:val="3A140783"/>
    <w:rsid w:val="3F6A1098"/>
    <w:rsid w:val="4C9537D8"/>
    <w:rsid w:val="4F644633"/>
    <w:rsid w:val="56246CAC"/>
    <w:rsid w:val="61FA0FA3"/>
    <w:rsid w:val="64901C49"/>
    <w:rsid w:val="6C9B5F84"/>
    <w:rsid w:val="6CD055F4"/>
    <w:rsid w:val="6DE95861"/>
    <w:rsid w:val="72C21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19"/>
    <w:qFormat/>
    <w:uiPriority w:val="9"/>
    <w:pPr>
      <w:ind w:left="4"/>
      <w:outlineLvl w:val="0"/>
    </w:pPr>
    <w:rPr>
      <w:rFonts w:ascii="微软雅黑" w:hAnsi="微软雅黑" w:eastAsia="微软雅黑" w:cs="微软雅黑"/>
      <w:b/>
      <w:bCs/>
      <w:sz w:val="44"/>
      <w:szCs w:val="44"/>
    </w:rPr>
  </w:style>
  <w:style w:type="paragraph" w:styleId="3">
    <w:name w:val="heading 2"/>
    <w:basedOn w:val="1"/>
    <w:next w:val="1"/>
    <w:unhideWhenUsed/>
    <w:qFormat/>
    <w:uiPriority w:val="9"/>
    <w:pPr>
      <w:ind w:left="3090"/>
      <w:outlineLvl w:val="1"/>
    </w:pPr>
    <w:rPr>
      <w:sz w:val="36"/>
      <w:szCs w:val="36"/>
    </w:rPr>
  </w:style>
  <w:style w:type="paragraph" w:styleId="4">
    <w:name w:val="heading 3"/>
    <w:basedOn w:val="1"/>
    <w:next w:val="1"/>
    <w:unhideWhenUsed/>
    <w:qFormat/>
    <w:uiPriority w:val="9"/>
    <w:pPr>
      <w:ind w:left="1010"/>
      <w:outlineLvl w:val="2"/>
    </w:pPr>
    <w:rPr>
      <w:rFonts w:ascii="微软雅黑" w:hAnsi="微软雅黑" w:eastAsia="微软雅黑" w:cs="微软雅黑"/>
      <w:b/>
      <w:bCs/>
      <w:sz w:val="30"/>
      <w:szCs w:val="30"/>
    </w:rPr>
  </w:style>
  <w:style w:type="paragraph" w:styleId="5">
    <w:name w:val="heading 4"/>
    <w:basedOn w:val="1"/>
    <w:next w:val="1"/>
    <w:unhideWhenUsed/>
    <w:qFormat/>
    <w:uiPriority w:val="9"/>
    <w:pPr>
      <w:spacing w:line="355" w:lineRule="exact"/>
      <w:ind w:left="140"/>
      <w:outlineLvl w:val="3"/>
    </w:pPr>
    <w:rPr>
      <w:rFonts w:ascii="微软雅黑" w:hAnsi="微软雅黑" w:eastAsia="微软雅黑" w:cs="微软雅黑"/>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4"/>
    <w:qFormat/>
    <w:uiPriority w:val="0"/>
    <w:rPr>
      <w:sz w:val="18"/>
      <w:szCs w:val="18"/>
    </w:rPr>
  </w:style>
  <w:style w:type="paragraph" w:styleId="7">
    <w:name w:val="Body Text"/>
    <w:basedOn w:val="1"/>
    <w:qFormat/>
    <w:uiPriority w:val="1"/>
    <w:rPr>
      <w:sz w:val="28"/>
      <w:szCs w:val="28"/>
    </w:rPr>
  </w:style>
  <w:style w:type="paragraph" w:styleId="8">
    <w:name w:val="Plain Text"/>
    <w:basedOn w:val="1"/>
    <w:link w:val="23"/>
    <w:qFormat/>
    <w:uiPriority w:val="0"/>
    <w:pPr>
      <w:autoSpaceDE/>
      <w:autoSpaceDN/>
      <w:jc w:val="both"/>
    </w:pPr>
    <w:rPr>
      <w:rFonts w:hAnsi="Courier New" w:cs="Times New Roman"/>
      <w:kern w:val="2"/>
      <w:sz w:val="21"/>
      <w:szCs w:val="20"/>
      <w:lang w:val="en-US" w:bidi="ar-SA"/>
    </w:rPr>
  </w:style>
  <w:style w:type="paragraph" w:styleId="9">
    <w:name w:val="Date"/>
    <w:basedOn w:val="1"/>
    <w:next w:val="1"/>
    <w:link w:val="21"/>
    <w:qFormat/>
    <w:uiPriority w:val="0"/>
    <w:pPr>
      <w:ind w:left="100" w:leftChars="2500"/>
    </w:pPr>
  </w:style>
  <w:style w:type="paragraph" w:styleId="10">
    <w:name w:val="Balloon Text"/>
    <w:basedOn w:val="1"/>
    <w:link w:val="25"/>
    <w:qFormat/>
    <w:uiPriority w:val="0"/>
    <w:rPr>
      <w:sz w:val="18"/>
      <w:szCs w:val="18"/>
    </w:rPr>
  </w:style>
  <w:style w:type="paragraph" w:styleId="11">
    <w:name w:val="footer"/>
    <w:basedOn w:val="1"/>
    <w:link w:val="26"/>
    <w:qFormat/>
    <w:uiPriority w:val="99"/>
    <w:pPr>
      <w:tabs>
        <w:tab w:val="center" w:pos="4153"/>
        <w:tab w:val="right" w:pos="8306"/>
      </w:tabs>
      <w:snapToGrid w:val="0"/>
    </w:pPr>
    <w:rPr>
      <w:sz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4">
    <w:name w:val="Normal (Web)"/>
    <w:basedOn w:val="1"/>
    <w:qFormat/>
    <w:uiPriority w:val="0"/>
    <w:pPr>
      <w:spacing w:beforeAutospacing="1" w:afterAutospacing="1"/>
    </w:pPr>
    <w:rPr>
      <w:rFonts w:cs="Times New Roman"/>
      <w:sz w:val="24"/>
      <w:lang w:val="en-US" w:bidi="ar-SA"/>
    </w:rPr>
  </w:style>
  <w:style w:type="paragraph" w:styleId="15">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标题 1 Char"/>
    <w:basedOn w:val="18"/>
    <w:link w:val="2"/>
    <w:qFormat/>
    <w:uiPriority w:val="9"/>
    <w:rPr>
      <w:rFonts w:ascii="微软雅黑" w:hAnsi="微软雅黑" w:eastAsia="微软雅黑" w:cs="微软雅黑"/>
      <w:b/>
      <w:bCs/>
      <w:sz w:val="44"/>
      <w:szCs w:val="44"/>
      <w:lang w:val="zh-CN" w:bidi="zh-CN"/>
    </w:rPr>
  </w:style>
  <w:style w:type="paragraph" w:customStyle="1" w:styleId="20">
    <w:name w:val="Default"/>
    <w:qFormat/>
    <w:uiPriority w:val="0"/>
    <w:pPr>
      <w:widowControl w:val="0"/>
      <w:autoSpaceDE w:val="0"/>
      <w:autoSpaceDN w:val="0"/>
      <w:adjustRightInd w:val="0"/>
    </w:pPr>
    <w:rPr>
      <w:rFonts w:ascii="楷体" w:hAnsi="楷体" w:cs="楷体" w:eastAsiaTheme="minorEastAsia"/>
      <w:color w:val="000000"/>
      <w:sz w:val="24"/>
      <w:szCs w:val="24"/>
      <w:lang w:val="en-US" w:eastAsia="zh-CN" w:bidi="ar-SA"/>
    </w:rPr>
  </w:style>
  <w:style w:type="character" w:customStyle="1" w:styleId="21">
    <w:name w:val="日期 Char"/>
    <w:basedOn w:val="18"/>
    <w:link w:val="9"/>
    <w:qFormat/>
    <w:uiPriority w:val="0"/>
    <w:rPr>
      <w:rFonts w:ascii="宋体" w:hAnsi="宋体" w:cs="宋体"/>
      <w:sz w:val="22"/>
      <w:szCs w:val="22"/>
      <w:lang w:val="zh-CN" w:bidi="zh-CN"/>
    </w:rPr>
  </w:style>
  <w:style w:type="paragraph" w:styleId="22">
    <w:name w:val="List Paragraph"/>
    <w:basedOn w:val="1"/>
    <w:qFormat/>
    <w:uiPriority w:val="34"/>
    <w:pPr>
      <w:autoSpaceDE/>
      <w:autoSpaceDN/>
      <w:spacing w:line="560" w:lineRule="exact"/>
      <w:ind w:firstLine="420" w:firstLineChars="200"/>
      <w:jc w:val="both"/>
    </w:pPr>
    <w:rPr>
      <w:rFonts w:eastAsia="仿宋" w:asciiTheme="minorHAnsi" w:hAnsiTheme="minorHAnsi" w:cstheme="minorBidi"/>
      <w:kern w:val="2"/>
      <w:lang w:val="en-US" w:bidi="ar-SA"/>
    </w:rPr>
  </w:style>
  <w:style w:type="character" w:customStyle="1" w:styleId="23">
    <w:name w:val="纯文本 Char"/>
    <w:basedOn w:val="18"/>
    <w:link w:val="8"/>
    <w:qFormat/>
    <w:uiPriority w:val="0"/>
    <w:rPr>
      <w:rFonts w:ascii="宋体" w:hAnsi="Courier New"/>
      <w:kern w:val="2"/>
      <w:sz w:val="21"/>
    </w:rPr>
  </w:style>
  <w:style w:type="character" w:customStyle="1" w:styleId="24">
    <w:name w:val="文档结构图 Char"/>
    <w:basedOn w:val="18"/>
    <w:link w:val="6"/>
    <w:qFormat/>
    <w:uiPriority w:val="0"/>
    <w:rPr>
      <w:rFonts w:ascii="宋体" w:hAnsi="宋体" w:cs="宋体"/>
      <w:sz w:val="18"/>
      <w:szCs w:val="18"/>
      <w:lang w:val="zh-CN" w:bidi="zh-CN"/>
    </w:rPr>
  </w:style>
  <w:style w:type="character" w:customStyle="1" w:styleId="25">
    <w:name w:val="批注框文本 Char"/>
    <w:basedOn w:val="18"/>
    <w:link w:val="10"/>
    <w:qFormat/>
    <w:uiPriority w:val="0"/>
    <w:rPr>
      <w:rFonts w:ascii="宋体" w:hAnsi="宋体" w:cs="宋体"/>
      <w:sz w:val="18"/>
      <w:szCs w:val="18"/>
      <w:lang w:val="zh-CN" w:bidi="zh-CN"/>
    </w:rPr>
  </w:style>
  <w:style w:type="character" w:customStyle="1" w:styleId="26">
    <w:name w:val="页脚 Char"/>
    <w:basedOn w:val="18"/>
    <w:link w:val="11"/>
    <w:qFormat/>
    <w:uiPriority w:val="99"/>
    <w:rPr>
      <w:rFonts w:ascii="宋体" w:hAnsi="宋体" w:cs="宋体"/>
      <w:sz w:val="18"/>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14</Pages>
  <Words>3970</Words>
  <Characters>4725</Characters>
  <Lines>36</Lines>
  <Paragraphs>10</Paragraphs>
  <TotalTime>11</TotalTime>
  <ScaleCrop>false</ScaleCrop>
  <LinksUpToDate>false</LinksUpToDate>
  <CharactersWithSpaces>4745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2021-12-19T11:57:00Z</dcterms:created>
  <dc:creator>biubiu biu</dc:creator>
  <cp:lastModifiedBy>盖胜家</cp:lastModifiedBy>
  <dcterms:modified xsi:type="dcterms:W3CDTF">2025-07-31T06:34:51Z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8ED0B9E0C93740CE9EEA251445E5E4F2</vt:lpwstr>
  </property>
  <property fmtid="{D5CDD505-2E9C-101B-9397-08002B2CF9AE}" pid="4" name="KSOTemplateDocerSaveRecord">
    <vt:lpwstr>eyJoZGlkIjoiNGFhYThlYzA5M2FjODYwYWFhMDQwNWE3MzA4NDYxN2MiLCJ1c2VySWQiOiI0OTA3NDg3MjMifQ==</vt:lpwstr>
  </property>
</Properties>
</file>