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微软雅黑" w:hAnsi="微软雅黑" w:eastAsia="微软雅黑" w:cs="宋体"/>
          <w:color w:val="000000" w:themeColor="text1"/>
          <w:kern w:val="0"/>
          <w:sz w:val="24"/>
          <w:szCs w:val="24"/>
        </w:rPr>
      </w:pPr>
      <w:r>
        <w:rPr>
          <w:rFonts w:hint="eastAsia" w:ascii="微软雅黑" w:hAnsi="微软雅黑" w:eastAsia="微软雅黑" w:cs="宋体"/>
          <w:color w:val="000000" w:themeColor="text1"/>
          <w:kern w:val="0"/>
          <w:sz w:val="24"/>
          <w:szCs w:val="24"/>
        </w:rPr>
        <w:t>庄河市住房和城乡建设局</w:t>
      </w:r>
      <w:r>
        <w:rPr>
          <w:rFonts w:hint="eastAsia" w:ascii="微软雅黑" w:hAnsi="微软雅黑" w:eastAsia="微软雅黑" w:cs="宋体"/>
          <w:color w:val="000000" w:themeColor="text1"/>
          <w:kern w:val="0"/>
          <w:sz w:val="24"/>
          <w:szCs w:val="24"/>
          <w:lang w:eastAsia="zh-CN"/>
        </w:rPr>
        <w:t>（</w:t>
      </w:r>
      <w:r>
        <w:rPr>
          <w:rFonts w:hint="eastAsia" w:ascii="微软雅黑" w:hAnsi="微软雅黑" w:eastAsia="微软雅黑" w:cs="宋体"/>
          <w:color w:val="000000" w:themeColor="text1"/>
          <w:kern w:val="0"/>
          <w:sz w:val="24"/>
          <w:szCs w:val="24"/>
          <w:lang w:val="en-US" w:eastAsia="zh-CN"/>
        </w:rPr>
        <w:t>本级</w:t>
      </w:r>
      <w:r>
        <w:rPr>
          <w:rFonts w:hint="eastAsia" w:ascii="微软雅黑" w:hAnsi="微软雅黑" w:eastAsia="微软雅黑" w:cs="宋体"/>
          <w:color w:val="000000" w:themeColor="text1"/>
          <w:kern w:val="0"/>
          <w:sz w:val="24"/>
          <w:szCs w:val="24"/>
          <w:lang w:eastAsia="zh-CN"/>
        </w:rPr>
        <w:t>）</w:t>
      </w:r>
      <w:r>
        <w:rPr>
          <w:rFonts w:hint="eastAsia" w:ascii="微软雅黑" w:hAnsi="微软雅黑" w:eastAsia="微软雅黑" w:cs="宋体"/>
          <w:color w:val="000000" w:themeColor="text1"/>
          <w:kern w:val="0"/>
          <w:sz w:val="24"/>
          <w:szCs w:val="24"/>
        </w:rPr>
        <w:t>单位预算</w:t>
      </w:r>
    </w:p>
    <w:p>
      <w:pPr>
        <w:widowControl/>
        <w:spacing w:line="320" w:lineRule="atLeast"/>
        <w:ind w:firstLine="480"/>
        <w:jc w:val="center"/>
        <w:rPr>
          <w:rFonts w:ascii="微软雅黑" w:hAnsi="微软雅黑" w:eastAsia="微软雅黑" w:cs="宋体"/>
          <w:color w:val="000000" w:themeColor="text1"/>
          <w:kern w:val="0"/>
          <w:sz w:val="24"/>
          <w:szCs w:val="24"/>
        </w:rPr>
      </w:pPr>
      <w:r>
        <w:rPr>
          <w:rFonts w:hint="eastAsia" w:ascii="微软雅黑" w:hAnsi="微软雅黑" w:eastAsia="微软雅黑" w:cs="宋体"/>
          <w:color w:val="000000" w:themeColor="text1"/>
          <w:kern w:val="0"/>
          <w:sz w:val="24"/>
          <w:szCs w:val="24"/>
        </w:rPr>
        <w:t>发布日期：2021-02-26</w:t>
      </w:r>
    </w:p>
    <w:p>
      <w:pPr>
        <w:widowControl/>
        <w:spacing w:line="320" w:lineRule="atLeast"/>
        <w:ind w:firstLine="480"/>
        <w:jc w:val="right"/>
        <w:rPr>
          <w:rFonts w:ascii="微软雅黑" w:hAnsi="微软雅黑" w:eastAsia="微软雅黑" w:cs="宋体"/>
          <w:color w:val="000000" w:themeColor="text1"/>
          <w:kern w:val="0"/>
          <w:sz w:val="24"/>
          <w:szCs w:val="24"/>
        </w:rPr>
      </w:pPr>
      <w:r>
        <w:rPr>
          <w:rFonts w:hint="eastAsia" w:ascii="微软雅黑" w:hAnsi="微软雅黑" w:eastAsia="微软雅黑" w:cs="宋体"/>
          <w:color w:val="000000" w:themeColor="text1"/>
          <w:kern w:val="0"/>
          <w:sz w:val="24"/>
          <w:szCs w:val="24"/>
        </w:rPr>
        <w:t>【字号： </w:t>
      </w:r>
      <w:r>
        <w:fldChar w:fldCharType="begin"/>
      </w:r>
      <w:r>
        <w:instrText xml:space="preserve"> HYPERLINK "javascript:fontSize(16)" </w:instrText>
      </w:r>
      <w:r>
        <w:fldChar w:fldCharType="separate"/>
      </w:r>
      <w:r>
        <w:rPr>
          <w:rFonts w:hint="eastAsia" w:ascii="微软雅黑" w:hAnsi="微软雅黑" w:eastAsia="微软雅黑" w:cs="宋体"/>
          <w:color w:val="000000" w:themeColor="text1"/>
          <w:kern w:val="0"/>
          <w:sz w:val="24"/>
          <w:szCs w:val="24"/>
        </w:rPr>
        <w:t>大</w:t>
      </w:r>
      <w:r>
        <w:rPr>
          <w:rFonts w:hint="eastAsia" w:ascii="微软雅黑" w:hAnsi="微软雅黑" w:eastAsia="微软雅黑" w:cs="宋体"/>
          <w:color w:val="000000" w:themeColor="text1"/>
          <w:kern w:val="0"/>
          <w:sz w:val="24"/>
          <w:szCs w:val="24"/>
        </w:rPr>
        <w:fldChar w:fldCharType="end"/>
      </w:r>
      <w:r>
        <w:rPr>
          <w:rFonts w:hint="eastAsia" w:ascii="微软雅黑" w:hAnsi="微软雅黑" w:eastAsia="微软雅黑" w:cs="宋体"/>
          <w:color w:val="000000" w:themeColor="text1"/>
          <w:kern w:val="0"/>
          <w:sz w:val="24"/>
          <w:szCs w:val="24"/>
        </w:rPr>
        <w:t> | </w:t>
      </w:r>
      <w:r>
        <w:fldChar w:fldCharType="begin"/>
      </w:r>
      <w:r>
        <w:instrText xml:space="preserve"> HYPERLINK "javascript:fontSize(14)" </w:instrText>
      </w:r>
      <w:r>
        <w:fldChar w:fldCharType="separate"/>
      </w:r>
      <w:r>
        <w:rPr>
          <w:rFonts w:hint="eastAsia" w:ascii="微软雅黑" w:hAnsi="微软雅黑" w:eastAsia="微软雅黑" w:cs="宋体"/>
          <w:color w:val="000000" w:themeColor="text1"/>
          <w:kern w:val="0"/>
          <w:sz w:val="24"/>
          <w:szCs w:val="24"/>
        </w:rPr>
        <w:t>中</w:t>
      </w:r>
      <w:r>
        <w:rPr>
          <w:rFonts w:hint="eastAsia" w:ascii="微软雅黑" w:hAnsi="微软雅黑" w:eastAsia="微软雅黑" w:cs="宋体"/>
          <w:color w:val="000000" w:themeColor="text1"/>
          <w:kern w:val="0"/>
          <w:sz w:val="24"/>
          <w:szCs w:val="24"/>
        </w:rPr>
        <w:fldChar w:fldCharType="end"/>
      </w:r>
      <w:r>
        <w:rPr>
          <w:rFonts w:hint="eastAsia" w:ascii="微软雅黑" w:hAnsi="微软雅黑" w:eastAsia="微软雅黑" w:cs="宋体"/>
          <w:color w:val="000000" w:themeColor="text1"/>
          <w:kern w:val="0"/>
          <w:sz w:val="24"/>
          <w:szCs w:val="24"/>
        </w:rPr>
        <w:t> | </w:t>
      </w:r>
      <w:r>
        <w:fldChar w:fldCharType="begin"/>
      </w:r>
      <w:r>
        <w:instrText xml:space="preserve"> HYPERLINK "javascript:fontSize(12)" </w:instrText>
      </w:r>
      <w:r>
        <w:fldChar w:fldCharType="separate"/>
      </w:r>
      <w:r>
        <w:rPr>
          <w:rFonts w:hint="eastAsia" w:ascii="微软雅黑" w:hAnsi="微软雅黑" w:eastAsia="微软雅黑" w:cs="宋体"/>
          <w:color w:val="000000" w:themeColor="text1"/>
          <w:kern w:val="0"/>
          <w:sz w:val="24"/>
          <w:szCs w:val="24"/>
        </w:rPr>
        <w:t>小</w:t>
      </w:r>
      <w:r>
        <w:rPr>
          <w:rFonts w:hint="eastAsia" w:ascii="微软雅黑" w:hAnsi="微软雅黑" w:eastAsia="微软雅黑" w:cs="宋体"/>
          <w:color w:val="000000" w:themeColor="text1"/>
          <w:kern w:val="0"/>
          <w:sz w:val="24"/>
          <w:szCs w:val="24"/>
        </w:rPr>
        <w:fldChar w:fldCharType="end"/>
      </w:r>
      <w:r>
        <w:rPr>
          <w:rFonts w:hint="eastAsia" w:ascii="微软雅黑" w:hAnsi="微软雅黑" w:eastAsia="微软雅黑" w:cs="宋体"/>
          <w:color w:val="000000" w:themeColor="text1"/>
          <w:kern w:val="0"/>
          <w:sz w:val="24"/>
          <w:szCs w:val="24"/>
        </w:rPr>
        <w:t>】</w:t>
      </w:r>
    </w:p>
    <w:p>
      <w:pPr>
        <w:widowControl/>
        <w:spacing w:line="320" w:lineRule="atLeast"/>
        <w:ind w:firstLine="480"/>
        <w:jc w:val="center"/>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目录</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 </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第一部分   庄河市住房和城乡建设局概况</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一、主要职责</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二、机构设置</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第二部分   庄河市住房和城乡建设局2021年单位预算表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一、收支预算总表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二、收入预算总表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三、支出预算总表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四、支出功能分类预算表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五、支出经济分类预算表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六、财政拨款预算总表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七、一般公共预算支出表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八、一般公共预算基本支出表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九、一般公共预算“三公”经费支出预算表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十、政府性基金预算支出表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十一、国有资本经营预算支出表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十二、项目支出表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十三、政府采购预算表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十四、政府购买服务预算表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第三部分  庄河市住房和城乡建设局2021年单位预算情况说明</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第四部分   名词解释</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 </w:t>
      </w:r>
    </w:p>
    <w:p>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第一部分  </w:t>
      </w:r>
    </w:p>
    <w:p>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庄河市住房和城乡建设局概况</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 </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一、主要职责</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一）贯彻执行国家、省和大连市有关房屋管理、住房保障、城市建设、村镇建设、建筑市场、房地产市场、勘察设计市场、物业行业及建筑业、城镇燃气、城市供热等方面的方针、政策、法律、法规及规章。参与城市总体规划、分区规划、大型建设项目的规划选址、环境评价、城市交通、供水、环保等专业行业的规划编制。</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(二)承担保障全市城镇低收入家庭住房的责任，贯彻落实保障相关政策，会同有关部门编制保障性住房发展规划和年度建设计划并监督实施，负责全市住房保障的监督管理。</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三)承担推进住房制度改革的责任。贯彻落实住房相关政策，拟订全市住房建设规划并指导实施，负责住房分配制度改革、公有住房出售、公有住房租金调整、货币化分配等工作的组织实施，负责机关事业单位住房货币化补贴政策的具体工作，研究提出住房和城乡建设重大问题的政策建议。</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四)承担规范全市房地产市场秩序、监督管理房地产市场的责任。贯彻落实房地产市场监管和产业发展政策，拟订房地产行业发展规划并组织实施，拟订房地产开发、房屋交易、房屋租赁、房地产估价与经纪管理、物业管理、房屋征收、公有住房管理、房屋安全的规章制度并监督执行，负责全市房地产市场交易、物业行业的监督管理，以及国有土地上的房屋征收补偿工作，指导城市房屋安全管理工作。</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五)指导全市房屋建筑和市政基础设施建设活动并承担规范建筑市场的责任。贯彻落实房屋建筑和市政基础设施(城市燃气、城市供热，下同)工程建设、工程造价等方面政策，指导、监督建筑市场准入与清出、工程监理工作，负责房屋建筑和市政基础设施建设施工许可、建筑业企业资质和房地产开发企业资质许可及事中事后监管。</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六)承担房屋建筑和市政基础设施工程质量、安全的监督管理责任，贯彻落实房屋建筑、市政基础设施等工程质量监督和监测、建设监理、施工安全生产和竣工验收备案的政策，组织或参与相关的建筑工程重大质量、安全事故的调查处理。</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七)负责全市建设工程标准、造价管理，负责建设工程合同、担保和竣工结算文件的管理，负责工程造价咨询企业和从业人员执业行为管理。指导、监督各类工程建设标准定额和公共服务设施(不合通信设施)建设标准的实施和工程造价计价工作，组织发布工程造价信息。</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(八) 监督指导市政基础设施的建设工作，负责编制并组织实施全市城市市政基础设施建设专项规划和发展规划，负责建立城市市政基础设施建设项目库制度，参与地下管线综合规划平衡协调，统筹协调城市地下的给水、排水、燃气、热力、电力、通信、有线电视和其他用途的管线( 含附属设施)及管线共同沟等的建设管理，指导、协调地下空间使用管理。</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九)负责全市燃气行业的监督管理。按有关规定，负责全市燃气行业特许经营的具体实施以及行政许可事项工作，并承担相应的安全监管责任，会同有关部门制定燃气安全事故应急预案，参与燃气安全事故的应急救援和事故调查，检查、指导全市燃气行业的业务工作。</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承担全市供热管理的责任。负责协调指导全市供热管理工作，会同有关部门对从事供热单位进行管理，按有关规定负责供热行业的行政许可事项工作，参与供热价格的拟订工作，负责协调、指导全市的供热管理工作。</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(十一) 承担规范、指导村镇建设的责任。贯彻落实小城镇建设政策，拟订全市小城镇基础设施建设补助金计划并监督实施、指导村镇规划编制、农村住房建设和贫困户危房改造，指导小城镇和农村人居生态环境的改善工作，指导推进小城镇建设工作。</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二)负责全市住房和城乡建设科技和勘察设计行业管理工作，贯彻落实城乡建设科技、勘察设计行业管理等相关政策，负责全市勘察设计行业、勘察设计市场准入和施工图纸的监督管理，负责住房和城乡建设系统标准化管理工作，组织重大科技项目研究开发、科技攻关和新技术的科技成果转化推广，指导重大技术引进和创新工作，指导相关的培训工作。</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(十三)承担推进绿色建筑和建筑节能的责任，负责墙体材料革新工作、粉煤灰综合利用、散装水泥发展与应用工作，贯彻落实建筑节能政策，组织实施重大建筑节能项目，发展装配式建筑。</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(十四)负责全市地下管线普查及相关地理信息系统管理和开发利用，推进信息化建设。</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(十五)负责全市住房和城乡建设行业执业资格和科技人才队伍建设的管理工作，管理全市住房和城乡建设行业的对外经济技术合作和外事工作，指导企业开拓国外建筑市场，发展国际工程承包和建筑劳务合作。</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六)负责全市人民防空工作。贯彻执行国家、省和大连市关于人民防空工作的方针、政策和法律法规，会同有关部门编制与城市相结合的人民防空建设规划并组织实施，负责城市地下防护空间的规划、建设管理、开发利用、使用管理等工作，负责人民办管理权限内人防工程及人防配套设施安全生产监督管理工作，负责人民防空行政执法工作，负责人防工程质量监督管理工作，负责人民防空指挥通信、警报系统的规划建设和维护管理工作;组织开展人民防空宣传教育工作，检查、监督群众防空组织的组建、训练、演习工作。</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七)贯彻执行国家、省和大连市关于市政设施管理、市容环境卫生管理、园林绿化管理以及依法确定的、与城市管理密切相关、需要纳入管理的其他城市管理和行政执法方面的方针、政策和法律法规，负责编制城市管理中长期规划和年度计划并组织实施，负责城市管理行政执法的管理工作，负责组织开展纳入城市管理综合执法范围的跨区域、重大复杂违法违规案件以及上级交办案件的查处工作，承担城市绿化和除雪工作。</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(十八)负责对城区环境卫生管理工作进行检查和指导;组织协调有关部门做好城市环境卫生整治和市容环境管理考核工作。</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(十九)完成市委、市政府交办的其他任务。</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二、机构设置</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庄河市住房和城乡建设局内设办公室、政策法规室、住房保障室、环境卫生室、公用事业管理室、工程建设管理室、行政审批室7个处室。</w:t>
      </w:r>
    </w:p>
    <w:p>
      <w:pPr>
        <w:keepNext w:val="0"/>
        <w:keepLines w:val="0"/>
        <w:pageBreakBefore w:val="0"/>
        <w:widowControl/>
        <w:kinsoku/>
        <w:wordWrap/>
        <w:overflowPunct/>
        <w:topLinePunct w:val="0"/>
        <w:autoSpaceDE/>
        <w:autoSpaceDN/>
        <w:bidi w:val="0"/>
        <w:adjustRightInd/>
        <w:snapToGrid/>
        <w:spacing w:line="360" w:lineRule="auto"/>
        <w:ind w:firstLine="883"/>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 </w:t>
      </w:r>
    </w:p>
    <w:p>
      <w:pPr>
        <w:widowControl/>
        <w:spacing w:line="320" w:lineRule="atLeast"/>
        <w:ind w:firstLine="480"/>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第二部分   </w:t>
      </w:r>
    </w:p>
    <w:p>
      <w:pPr>
        <w:widowControl/>
        <w:spacing w:line="320" w:lineRule="atLeast"/>
        <w:ind w:firstLine="480"/>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庄河市住房和城乡建设局2021年单位预算表</w:t>
      </w:r>
    </w:p>
    <w:p>
      <w:pPr>
        <w:widowControl/>
        <w:spacing w:line="320" w:lineRule="atLeast"/>
        <w:ind w:firstLine="480"/>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（详见附件）</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 </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一、收支预算总表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二、收入预算总表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三、支出预算总表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四、支出功能分类预算表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五、支出经济分类预算表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六、财政拨款预算总表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七、一般公共预算支出表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八、一般公共预算基本支出表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九、一般公共预算“三公”经费支出预算表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十、政府性基金预算支出表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十一、国有资本经营预算支出表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十二、项目支出表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十三、政府采购预算表</w:t>
      </w:r>
    </w:p>
    <w:p>
      <w:pPr>
        <w:widowControl/>
        <w:spacing w:line="320" w:lineRule="atLeas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十四、政府购买服务预算表</w:t>
      </w:r>
    </w:p>
    <w:p>
      <w:pPr>
        <w:widowControl/>
        <w:spacing w:line="320" w:lineRule="atLeast"/>
        <w:ind w:firstLine="480"/>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第三部分   </w:t>
      </w:r>
    </w:p>
    <w:p>
      <w:pPr>
        <w:widowControl/>
        <w:spacing w:line="320" w:lineRule="atLeast"/>
        <w:ind w:firstLine="480"/>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庄河市住房和城乡建设局2021年单位预算</w:t>
      </w:r>
    </w:p>
    <w:p>
      <w:pPr>
        <w:widowControl/>
        <w:spacing w:line="320" w:lineRule="atLeast"/>
        <w:ind w:firstLine="480"/>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情况说明</w:t>
      </w:r>
    </w:p>
    <w:p>
      <w:pPr>
        <w:widowControl/>
        <w:spacing w:line="320" w:lineRule="atLeast"/>
        <w:ind w:firstLine="643"/>
        <w:jc w:val="left"/>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 </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一、2021年单位收支预算情况</w:t>
      </w:r>
    </w:p>
    <w:p>
      <w:pPr>
        <w:keepNext w:val="0"/>
        <w:keepLines w:val="0"/>
        <w:pageBreakBefore w:val="0"/>
        <w:widowControl/>
        <w:kinsoku/>
        <w:wordWrap/>
        <w:overflowPunct/>
        <w:topLinePunct w:val="0"/>
        <w:autoSpaceDE/>
        <w:autoSpaceDN/>
        <w:bidi w:val="0"/>
        <w:adjustRightInd/>
        <w:snapToGrid/>
        <w:spacing w:line="360" w:lineRule="auto"/>
        <w:ind w:firstLine="66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2021年收入预算904.7万元，比2020年减少86.3万元。其中：一般公共预算拨款收入904.7万元，政府性基金预算拨款收入0万元，国有资本经营预算拨款收入0万元，财政专户管理资金收入0万元，事业收入0万元，上级补助收入0万元，附属单位上缴收入0万元，事业单位经营收入0万元, 其他收入0万元, 上年结转结余0万元。</w:t>
      </w:r>
    </w:p>
    <w:p>
      <w:pPr>
        <w:keepNext w:val="0"/>
        <w:keepLines w:val="0"/>
        <w:pageBreakBefore w:val="0"/>
        <w:widowControl/>
        <w:kinsoku/>
        <w:wordWrap/>
        <w:overflowPunct/>
        <w:topLinePunct w:val="0"/>
        <w:autoSpaceDE/>
        <w:autoSpaceDN/>
        <w:bidi w:val="0"/>
        <w:adjustRightInd/>
        <w:snapToGrid/>
        <w:spacing w:line="360" w:lineRule="auto"/>
        <w:ind w:firstLine="66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2021年支出预算904.7万元，比2020年增加86.3万元。其中：人员经费343.5万元，公用经费22.6万元，部门预算项目经费0万元,本年预留项目经费0万元。</w:t>
      </w:r>
    </w:p>
    <w:p>
      <w:pPr>
        <w:keepNext w:val="0"/>
        <w:keepLines w:val="0"/>
        <w:pageBreakBefore w:val="0"/>
        <w:widowControl/>
        <w:kinsoku/>
        <w:wordWrap/>
        <w:overflowPunct/>
        <w:topLinePunct w:val="0"/>
        <w:autoSpaceDE/>
        <w:autoSpaceDN/>
        <w:bidi w:val="0"/>
        <w:adjustRightInd/>
        <w:snapToGrid/>
        <w:spacing w:line="360" w:lineRule="auto"/>
        <w:ind w:firstLine="66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年终结转结余0万元。</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二、2021年财政拨款收支预算情况</w:t>
      </w:r>
    </w:p>
    <w:p>
      <w:pPr>
        <w:keepNext w:val="0"/>
        <w:keepLines w:val="0"/>
        <w:pageBreakBefore w:val="0"/>
        <w:widowControl/>
        <w:kinsoku/>
        <w:wordWrap/>
        <w:overflowPunct/>
        <w:topLinePunct w:val="0"/>
        <w:autoSpaceDE/>
        <w:autoSpaceDN/>
        <w:bidi w:val="0"/>
        <w:adjustRightInd/>
        <w:snapToGrid/>
        <w:spacing w:line="360" w:lineRule="auto"/>
        <w:ind w:firstLine="66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2021年财政拨款收入预算904.7万元，比2020年减少86.3万元。其中：一般公共预算收入904.7万元，政府性基金收入0万元，国有资本经营预算收入0万元。</w:t>
      </w:r>
    </w:p>
    <w:p>
      <w:pPr>
        <w:keepNext w:val="0"/>
        <w:keepLines w:val="0"/>
        <w:pageBreakBefore w:val="0"/>
        <w:widowControl/>
        <w:kinsoku/>
        <w:wordWrap/>
        <w:overflowPunct/>
        <w:topLinePunct w:val="0"/>
        <w:autoSpaceDE/>
        <w:autoSpaceDN/>
        <w:bidi w:val="0"/>
        <w:adjustRightInd/>
        <w:snapToGrid/>
        <w:spacing w:line="360" w:lineRule="auto"/>
        <w:ind w:firstLine="66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2021年财政拨款支出预算904.7万元，比2020年减少86.3万元。按照“人员经费按实际，公用经费按定额，项目经费按需要与可能”的原则编制。其中：人员经费343.5万元，公用经费22.6万元, 部门预算项目经费538.</w:t>
      </w:r>
      <w:r>
        <w:rPr>
          <w:rFonts w:hint="eastAsia" w:ascii="宋体" w:hAnsi="宋体" w:eastAsia="宋体" w:cs="宋体"/>
          <w:color w:val="000000" w:themeColor="text1"/>
          <w:kern w:val="0"/>
          <w:sz w:val="24"/>
          <w:szCs w:val="24"/>
          <w:lang w:val="en-US" w:eastAsia="zh-CN"/>
        </w:rPr>
        <w:t>6</w:t>
      </w:r>
      <w:r>
        <w:rPr>
          <w:rFonts w:ascii="宋体" w:hAnsi="宋体" w:eastAsia="宋体" w:cs="宋体"/>
          <w:color w:val="000000" w:themeColor="text1"/>
          <w:kern w:val="0"/>
          <w:sz w:val="24"/>
          <w:szCs w:val="24"/>
        </w:rPr>
        <w:t>万元, 本年预留项目经费0</w:t>
      </w:r>
      <w:bookmarkStart w:id="0" w:name="_GoBack"/>
      <w:bookmarkEnd w:id="0"/>
      <w:r>
        <w:rPr>
          <w:rFonts w:ascii="宋体" w:hAnsi="宋体" w:eastAsia="宋体" w:cs="宋体"/>
          <w:color w:val="000000" w:themeColor="text1"/>
          <w:kern w:val="0"/>
          <w:sz w:val="24"/>
          <w:szCs w:val="24"/>
        </w:rPr>
        <w:t>万元。</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三、2021年一般公共预算支出预算情况</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（一）一般公共预算支出预算总体情况</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2021年一般公共预算支出预算904.7万元，占本年支出预算合计的100%。与2020年相比，一般公共预算支出预算减少86.3万元，下降8.7%。主要原因：压缩经费、开源节流。</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（二）一般公共预算支出预算结构</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2021年一般公共预算支出预算904.7万元，主要用于以下方面：</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default" w:ascii="宋体" w:hAnsi="宋体" w:eastAsia="宋体" w:cs="宋体"/>
          <w:color w:val="000000" w:themeColor="text1"/>
          <w:kern w:val="0"/>
          <w:sz w:val="24"/>
          <w:szCs w:val="24"/>
          <w:lang w:val="en-US"/>
        </w:rPr>
      </w:pPr>
      <w:r>
        <w:rPr>
          <w:rFonts w:ascii="宋体" w:hAnsi="宋体" w:eastAsia="宋体" w:cs="宋体"/>
          <w:color w:val="000000" w:themeColor="text1"/>
          <w:kern w:val="0"/>
          <w:sz w:val="24"/>
          <w:szCs w:val="24"/>
        </w:rPr>
        <w:t>1、社会保障和就业支出</w:t>
      </w:r>
      <w:r>
        <w:rPr>
          <w:rFonts w:hint="eastAsia" w:ascii="宋体" w:hAnsi="宋体" w:eastAsia="宋体" w:cs="宋体"/>
          <w:color w:val="000000" w:themeColor="text1"/>
          <w:kern w:val="0"/>
          <w:sz w:val="24"/>
          <w:szCs w:val="24"/>
        </w:rPr>
        <w:t xml:space="preserve">  </w:t>
      </w:r>
      <w:r>
        <w:rPr>
          <w:rFonts w:ascii="宋体" w:hAnsi="宋体" w:eastAsia="宋体" w:cs="宋体"/>
          <w:color w:val="000000" w:themeColor="text1"/>
          <w:kern w:val="0"/>
          <w:sz w:val="24"/>
          <w:szCs w:val="24"/>
        </w:rPr>
        <w:t>40.9万元，比2020年预算增加2.2万元，增长5.68 %。</w:t>
      </w:r>
      <w:r>
        <w:rPr>
          <w:rFonts w:hint="eastAsia" w:ascii="宋体" w:hAnsi="宋体" w:eastAsia="宋体" w:cs="宋体"/>
          <w:color w:val="000000" w:themeColor="text1"/>
          <w:kern w:val="0"/>
          <w:sz w:val="24"/>
          <w:szCs w:val="24"/>
          <w:lang w:val="en-US" w:eastAsia="zh-CN"/>
        </w:rPr>
        <w:t>主要原因是新进人员增加，相应费用支出增加。</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2、卫生健康支出30.2万元，比2020年预算增加0.6万元，增长2.02%。</w:t>
      </w:r>
      <w:r>
        <w:rPr>
          <w:rFonts w:hint="eastAsia" w:ascii="宋体" w:hAnsi="宋体" w:eastAsia="宋体" w:cs="宋体"/>
          <w:color w:val="000000" w:themeColor="text1"/>
          <w:kern w:val="0"/>
          <w:sz w:val="24"/>
          <w:szCs w:val="24"/>
          <w:lang w:val="en-US" w:eastAsia="zh-CN"/>
        </w:rPr>
        <w:t>主要原因是新进人员增加，相应费用支出增加。</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3、城乡社区支出780.1万元，比2020年预算减少89.9万元，下降10.33%。</w:t>
      </w:r>
      <w:r>
        <w:rPr>
          <w:rFonts w:hint="eastAsia" w:ascii="宋体" w:hAnsi="宋体" w:eastAsia="宋体" w:cs="宋体"/>
          <w:color w:val="000000" w:themeColor="text1"/>
          <w:kern w:val="0"/>
          <w:sz w:val="24"/>
          <w:szCs w:val="24"/>
          <w:lang w:val="en-US" w:eastAsia="zh-CN"/>
        </w:rPr>
        <w:t>主要原因是压缩经费，开源节流。</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default" w:ascii="宋体" w:hAnsi="宋体" w:eastAsia="宋体" w:cs="宋体"/>
          <w:color w:val="000000" w:themeColor="text1"/>
          <w:kern w:val="0"/>
          <w:sz w:val="24"/>
          <w:szCs w:val="24"/>
          <w:lang w:val="en-US" w:eastAsia="zh-CN"/>
        </w:rPr>
      </w:pPr>
      <w:r>
        <w:rPr>
          <w:rFonts w:ascii="宋体" w:hAnsi="宋体" w:eastAsia="宋体" w:cs="宋体"/>
          <w:color w:val="000000" w:themeColor="text1"/>
          <w:kern w:val="0"/>
          <w:sz w:val="24"/>
          <w:szCs w:val="24"/>
        </w:rPr>
        <w:t>4、住房保障支出53.5万元，比2020年预算增加0.8万元，增长1.52%。</w:t>
      </w:r>
      <w:r>
        <w:rPr>
          <w:rFonts w:hint="eastAsia" w:ascii="宋体" w:hAnsi="宋体" w:eastAsia="宋体" w:cs="宋体"/>
          <w:color w:val="000000" w:themeColor="text1"/>
          <w:kern w:val="0"/>
          <w:sz w:val="24"/>
          <w:szCs w:val="24"/>
          <w:lang w:val="en-US" w:eastAsia="zh-CN"/>
        </w:rPr>
        <w:t>主要原因是新进人员增加，住房保障支出增多。</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四、2021年一般公共预算基本支出预算情况</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2021年一般公共预算基本支出预算366.1万元，包括人员经费343.5万元，公用经费22.6万元。其中：</w:t>
      </w:r>
    </w:p>
    <w:p>
      <w:pPr>
        <w:keepNext w:val="0"/>
        <w:keepLines w:val="0"/>
        <w:pageBreakBefore w:val="0"/>
        <w:widowControl/>
        <w:kinsoku/>
        <w:wordWrap/>
        <w:overflowPunct/>
        <w:topLinePunct w:val="0"/>
        <w:autoSpaceDE/>
        <w:autoSpaceDN/>
        <w:bidi w:val="0"/>
        <w:adjustRightInd/>
        <w:snapToGrid/>
        <w:spacing w:line="360" w:lineRule="auto"/>
        <w:ind w:firstLine="641"/>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1、工资福利支出358.3万元，主要用于：基本工资、津贴补贴、社会保障缴费。</w:t>
      </w:r>
    </w:p>
    <w:p>
      <w:pPr>
        <w:keepNext w:val="0"/>
        <w:keepLines w:val="0"/>
        <w:pageBreakBefore w:val="0"/>
        <w:widowControl/>
        <w:kinsoku/>
        <w:wordWrap/>
        <w:overflowPunct/>
        <w:topLinePunct w:val="0"/>
        <w:autoSpaceDE/>
        <w:autoSpaceDN/>
        <w:bidi w:val="0"/>
        <w:adjustRightInd/>
        <w:snapToGrid/>
        <w:spacing w:line="360" w:lineRule="auto"/>
        <w:ind w:firstLine="641"/>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2、商品和服务支出22万元，主要用于：办公费、邮电费、差旅费、培训费、公务接待费、劳务费、福利费、公务用车运行维护费。</w:t>
      </w:r>
    </w:p>
    <w:p>
      <w:pPr>
        <w:keepNext w:val="0"/>
        <w:keepLines w:val="0"/>
        <w:pageBreakBefore w:val="0"/>
        <w:widowControl/>
        <w:kinsoku/>
        <w:wordWrap/>
        <w:overflowPunct/>
        <w:topLinePunct w:val="0"/>
        <w:autoSpaceDE/>
        <w:autoSpaceDN/>
        <w:bidi w:val="0"/>
        <w:adjustRightInd/>
        <w:snapToGrid/>
        <w:spacing w:line="360" w:lineRule="auto"/>
        <w:ind w:firstLine="641"/>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3、对个人和家庭的补助0.6万元，主要用于：离退休费。</w:t>
      </w:r>
    </w:p>
    <w:p>
      <w:pPr>
        <w:keepNext w:val="0"/>
        <w:keepLines w:val="0"/>
        <w:pageBreakBefore w:val="0"/>
        <w:widowControl/>
        <w:kinsoku/>
        <w:wordWrap/>
        <w:overflowPunct/>
        <w:topLinePunct w:val="0"/>
        <w:autoSpaceDE/>
        <w:autoSpaceDN/>
        <w:bidi w:val="0"/>
        <w:adjustRightInd/>
        <w:snapToGrid/>
        <w:spacing w:line="360" w:lineRule="auto"/>
        <w:ind w:firstLine="641"/>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五、“三公”经费预算情况说明</w:t>
      </w:r>
    </w:p>
    <w:p>
      <w:pPr>
        <w:keepNext w:val="0"/>
        <w:keepLines w:val="0"/>
        <w:pageBreakBefore w:val="0"/>
        <w:widowControl/>
        <w:kinsoku/>
        <w:wordWrap/>
        <w:overflowPunct/>
        <w:topLinePunct w:val="0"/>
        <w:autoSpaceDE/>
        <w:autoSpaceDN/>
        <w:bidi w:val="0"/>
        <w:adjustRightInd/>
        <w:snapToGrid/>
        <w:spacing w:line="360" w:lineRule="auto"/>
        <w:ind w:left="0" w:firstLine="641"/>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庄河市住房和城乡建设局2021年“三公”经费财政拨款预算为12万元，包括因公出国（境）费、公务接待费、公务用车购置及运行费，比2020年预算减少9万元。其中：</w:t>
      </w:r>
    </w:p>
    <w:p>
      <w:pPr>
        <w:keepNext w:val="0"/>
        <w:keepLines w:val="0"/>
        <w:pageBreakBefore w:val="0"/>
        <w:widowControl/>
        <w:kinsoku/>
        <w:wordWrap/>
        <w:overflowPunct/>
        <w:topLinePunct w:val="0"/>
        <w:autoSpaceDE/>
        <w:autoSpaceDN/>
        <w:bidi w:val="0"/>
        <w:adjustRightInd/>
        <w:snapToGrid/>
        <w:spacing w:line="360" w:lineRule="auto"/>
        <w:ind w:left="0" w:firstLine="641"/>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因公出国（境）费预算0万元，主要安排本单位人员的国际合作交流、重大项目洽谈、境外培训研修等的国际旅费、国外城市间交通费、住宿费、伙食费、保险费、公杂费等支出。比2020年预算增加0万元，主要原因是</w:t>
      </w:r>
      <w:r>
        <w:rPr>
          <w:rFonts w:hint="eastAsia" w:ascii="宋体" w:hAnsi="宋体" w:eastAsia="宋体" w:cs="宋体"/>
          <w:color w:val="000000" w:themeColor="text1"/>
          <w:kern w:val="0"/>
          <w:sz w:val="24"/>
          <w:szCs w:val="24"/>
          <w:lang w:val="en-US" w:eastAsia="zh-CN"/>
        </w:rPr>
        <w:t>今年和上一年</w:t>
      </w:r>
      <w:r>
        <w:rPr>
          <w:rFonts w:ascii="宋体" w:hAnsi="宋体" w:eastAsia="宋体" w:cs="宋体"/>
          <w:color w:val="000000" w:themeColor="text1"/>
          <w:kern w:val="0"/>
          <w:sz w:val="24"/>
          <w:szCs w:val="24"/>
        </w:rPr>
        <w:t>没有安排此项费用。</w:t>
      </w:r>
    </w:p>
    <w:p>
      <w:pPr>
        <w:keepNext w:val="0"/>
        <w:keepLines w:val="0"/>
        <w:pageBreakBefore w:val="0"/>
        <w:widowControl/>
        <w:kinsoku/>
        <w:wordWrap/>
        <w:overflowPunct/>
        <w:topLinePunct w:val="0"/>
        <w:autoSpaceDE/>
        <w:autoSpaceDN/>
        <w:bidi w:val="0"/>
        <w:adjustRightInd/>
        <w:snapToGrid/>
        <w:spacing w:line="360" w:lineRule="auto"/>
        <w:ind w:left="0" w:firstLine="641"/>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公务接待费预算4万元，主要安排全国性专业会议、国家重大政策调研、专项检查以及外事团组接待交流等执行公务或开展业务所需住宿费、交通费、伙食费等支出。比2020年预算减少4万元，主要原因是严格执行中央八项规定，杜绝一切不符合标准的开支。</w:t>
      </w:r>
    </w:p>
    <w:p>
      <w:pPr>
        <w:keepNext w:val="0"/>
        <w:keepLines w:val="0"/>
        <w:pageBreakBefore w:val="0"/>
        <w:widowControl/>
        <w:kinsoku/>
        <w:wordWrap/>
        <w:overflowPunct/>
        <w:topLinePunct w:val="0"/>
        <w:autoSpaceDE/>
        <w:autoSpaceDN/>
        <w:bidi w:val="0"/>
        <w:adjustRightInd/>
        <w:snapToGrid/>
        <w:spacing w:line="360" w:lineRule="auto"/>
        <w:ind w:left="0" w:firstLine="641"/>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公务用车购置及运行费预算8万元（其中，公务用车购置费0万元，公务用车运行费8万元），主要安排编制内公务车辆的报废更新，以及用于安排市内因公出差、公务文件交换、日常工作开展等所需公务用车燃料费、维修费、过路过桥费、保险费等支出。比2020年预算减少5万元，主要原因是严格控制公车使用，规范执行公车派车使用流程，坚决杜绝公车私用。</w:t>
      </w:r>
    </w:p>
    <w:p>
      <w:pPr>
        <w:keepNext w:val="0"/>
        <w:keepLines w:val="0"/>
        <w:pageBreakBefore w:val="0"/>
        <w:widowControl/>
        <w:kinsoku/>
        <w:wordWrap/>
        <w:overflowPunct/>
        <w:topLinePunct w:val="0"/>
        <w:autoSpaceDE/>
        <w:autoSpaceDN/>
        <w:bidi w:val="0"/>
        <w:adjustRightInd/>
        <w:snapToGrid/>
        <w:spacing w:line="360" w:lineRule="auto"/>
        <w:ind w:left="0" w:firstLine="641"/>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六、政府性基金预算支出预算情况</w:t>
      </w:r>
    </w:p>
    <w:p>
      <w:pPr>
        <w:keepNext w:val="0"/>
        <w:keepLines w:val="0"/>
        <w:pageBreakBefore w:val="0"/>
        <w:widowControl/>
        <w:kinsoku/>
        <w:wordWrap/>
        <w:overflowPunct/>
        <w:topLinePunct w:val="0"/>
        <w:autoSpaceDE/>
        <w:autoSpaceDN/>
        <w:bidi w:val="0"/>
        <w:adjustRightInd/>
        <w:snapToGrid/>
        <w:spacing w:line="360" w:lineRule="auto"/>
        <w:ind w:left="0" w:firstLine="641"/>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2021年本单位无政府性基金预算。</w:t>
      </w:r>
    </w:p>
    <w:p>
      <w:pPr>
        <w:keepNext w:val="0"/>
        <w:keepLines w:val="0"/>
        <w:pageBreakBefore w:val="0"/>
        <w:widowControl/>
        <w:kinsoku/>
        <w:wordWrap/>
        <w:overflowPunct/>
        <w:topLinePunct w:val="0"/>
        <w:autoSpaceDE/>
        <w:autoSpaceDN/>
        <w:bidi w:val="0"/>
        <w:adjustRightInd/>
        <w:snapToGrid/>
        <w:spacing w:line="360" w:lineRule="auto"/>
        <w:ind w:left="0" w:firstLine="641"/>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七、国有资本经营预算支出预算情况</w:t>
      </w:r>
    </w:p>
    <w:p>
      <w:pPr>
        <w:keepNext w:val="0"/>
        <w:keepLines w:val="0"/>
        <w:pageBreakBefore w:val="0"/>
        <w:widowControl/>
        <w:kinsoku/>
        <w:wordWrap/>
        <w:overflowPunct/>
        <w:topLinePunct w:val="0"/>
        <w:autoSpaceDE/>
        <w:autoSpaceDN/>
        <w:bidi w:val="0"/>
        <w:adjustRightInd/>
        <w:snapToGrid/>
        <w:spacing w:line="360" w:lineRule="auto"/>
        <w:ind w:left="0" w:firstLine="641"/>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2021年度本单位无国有资本经营预算。</w:t>
      </w:r>
    </w:p>
    <w:p>
      <w:pPr>
        <w:keepNext w:val="0"/>
        <w:keepLines w:val="0"/>
        <w:pageBreakBefore w:val="0"/>
        <w:widowControl/>
        <w:kinsoku/>
        <w:wordWrap/>
        <w:overflowPunct/>
        <w:topLinePunct w:val="0"/>
        <w:autoSpaceDE/>
        <w:autoSpaceDN/>
        <w:bidi w:val="0"/>
        <w:adjustRightInd/>
        <w:snapToGrid/>
        <w:spacing w:line="360" w:lineRule="auto"/>
        <w:ind w:left="0" w:firstLine="641"/>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八、其他重要事项的情况说明</w:t>
      </w:r>
    </w:p>
    <w:p>
      <w:pPr>
        <w:keepNext w:val="0"/>
        <w:keepLines w:val="0"/>
        <w:pageBreakBefore w:val="0"/>
        <w:widowControl/>
        <w:kinsoku/>
        <w:wordWrap/>
        <w:overflowPunct/>
        <w:topLinePunct w:val="0"/>
        <w:autoSpaceDE/>
        <w:autoSpaceDN/>
        <w:bidi w:val="0"/>
        <w:adjustRightInd/>
        <w:snapToGrid/>
        <w:spacing w:line="360" w:lineRule="auto"/>
        <w:ind w:left="0" w:firstLine="643"/>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（一）昌盛街道环卫经费项目情况</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1、项目概述</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为进一步做好城市环境卫生工作，落实环境卫生全覆盖、精细化和长效管理机制，全面提升环境卫生质量，营造整洁、有序、文明、优美、和谐的城市环境。2007年7月起，市政府决定将昌盛街道辖区（临港工业区）环卫工作纳入城区统一管理。通过公开招标，庄河市锦程环卫保洁有限公司中标，承担昌盛街道合同规定区域的环卫工作。该公司能够严格按照考核环境卫生标准开展工作，历年来昌盛街道办事处的环境卫生年终总评为优秀，给居民营造较好的居住环境。</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2、立项依据</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《庄河市昌盛街道辖区环境卫生管理工作合同》补充协议</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3、实施主体</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庄河市住房和城乡建设局</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4、 实施方案</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按照《庄河市市区环境卫生作业服务质量和考核评分标准》的文件要求，开展昌盛街道环境卫生作业，明确路街清扫保洁、道路机械化清扫、垃圾清运、社区卫生清扫保洁、环卫设施维护、公厕管理、粪便清运、设备管理考核标准，落实环境卫生作业。具体要求一是路街清扫保洁：为了环卫工作的整体性和连续性，对街头绿地、人行步道、行道树、边沟、隔离带、道路、排水沟及河（湖）水面的卫生全部实行从墙根到墙根、从边界到边界全域覆盖，一体化管理。辖区内路街清扫保洁人员必须按照财政核拨的人员上岗。班制道路必须按照规定时间先晨扫后保洁，双班制道路两人每日都必须参加晨扫。清扫保洁区域内要干净整洁，无垃圾污物，砖瓦石块；定时完成作业任务；按照规定的作业程序进行规范作业；二是道路机械化清扫：机械化清扫作业是不扬尘，路见本色，路边沿石、隔离栏（桩）底无浮土、浮渣。严格按照规定的时间、频次、作业范围、作业规范开展道路机械化清扫，完成规定的作业任务量；三是垃圾清运：生活垃圾分类定点定时收集，堆放整齐，无散落垃圾，垃圾代运点干净整洁。达到日产日清，车辆作业规范有序，不扰民；四是社区卫生清扫保洁：居民区内巷土路干净整洁，路两侧无杂草、、垃圾。居民楼立面、咯梯口、线杆、构筑物等地，无乱贴乱画的“野广告”。楼梯口内禁止乱堆乱放杂物，保持畅通整洁。居民区棚厦顶部杂物要摆放整齐，不得有垃圾污物。居民楼前厦后、花坛、通道严禁有各种杂物，砖瓦石块、“白色污染物”等。居民区楼房排水井、化粪池满溢的要及时清涛疏通。城乡结合部（“城中村”社区）主要道路及周边视线范围内要干净整洁无“白色污染物”，没有卫生死角。五是环卫设施维护：摆放整齐、牢固、箱体整洁，无破损、残缺、锈蚀，功能完好。定时清理垃圾，定期灭蝇蛆，及时维修维护；六是公厕管理：达到你“六净、四无”标准，即地面净、蹲位净、便器净、棚墙窗净、洗手设施净、周围三米内环境净，设施齐全无损坏，无明显异味、无蝇蛆、无论涂乱画乱贴现象；七是粪便清运：居民楼化粪池、公厕粪便池清掏及时，文明作业。清运车辆整洁，无沿途地漏，无乱排滥卸；八是设备管理：环卫机动车辆要定期保养，手推车保持清洁，需设专人管理。</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5、实施周期</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续约期限从2021年1月1日起至2021年12月31日止。</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6、年度预算安排</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2021年拟安排该项目一般公共预算388.82万元。</w:t>
      </w:r>
    </w:p>
    <w:p>
      <w:pPr>
        <w:keepNext w:val="0"/>
        <w:keepLines w:val="0"/>
        <w:pageBreakBefore w:val="0"/>
        <w:widowControl/>
        <w:kinsoku/>
        <w:wordWrap/>
        <w:overflowPunct/>
        <w:topLinePunct w:val="0"/>
        <w:autoSpaceDE/>
        <w:autoSpaceDN/>
        <w:bidi w:val="0"/>
        <w:adjustRightInd/>
        <w:snapToGrid/>
        <w:spacing w:line="360" w:lineRule="auto"/>
        <w:ind w:left="0" w:firstLine="643"/>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（二）机关（事业）运行经费预算</w:t>
      </w:r>
    </w:p>
    <w:p>
      <w:pPr>
        <w:keepNext w:val="0"/>
        <w:keepLines w:val="0"/>
        <w:pageBreakBefore w:val="0"/>
        <w:widowControl/>
        <w:kinsoku/>
        <w:wordWrap/>
        <w:overflowPunct/>
        <w:topLinePunct w:val="0"/>
        <w:autoSpaceDE/>
        <w:autoSpaceDN/>
        <w:bidi w:val="0"/>
        <w:adjustRightInd/>
        <w:snapToGrid/>
        <w:spacing w:line="360" w:lineRule="auto"/>
        <w:ind w:left="0" w:firstLine="80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机关（事业）运行经费是指行政机关（事业）使用一般公共预算财政拨款安排的基本支出中的公用经费支出。2021年度机关(事业)运行经费财政拨款预算22.6万元, 比2020年预算减少0.3万元，降低1.31%，主要原因是调出人员增加，相应费用减少。</w:t>
      </w:r>
    </w:p>
    <w:p>
      <w:pPr>
        <w:keepNext w:val="0"/>
        <w:keepLines w:val="0"/>
        <w:pageBreakBefore w:val="0"/>
        <w:widowControl/>
        <w:kinsoku/>
        <w:wordWrap/>
        <w:overflowPunct/>
        <w:topLinePunct w:val="0"/>
        <w:autoSpaceDE/>
        <w:autoSpaceDN/>
        <w:bidi w:val="0"/>
        <w:adjustRightInd/>
        <w:snapToGrid/>
        <w:spacing w:line="360" w:lineRule="auto"/>
        <w:ind w:left="0" w:firstLine="643"/>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（三）政府采购情况</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2021年度本单位政府采购预算144万元，其中：货物类预算80万元、服务类预算0万元、工程类预算64万元。</w:t>
      </w:r>
    </w:p>
    <w:p>
      <w:pPr>
        <w:keepNext w:val="0"/>
        <w:keepLines w:val="0"/>
        <w:pageBreakBefore w:val="0"/>
        <w:widowControl/>
        <w:kinsoku/>
        <w:wordWrap/>
        <w:overflowPunct/>
        <w:topLinePunct w:val="0"/>
        <w:autoSpaceDE/>
        <w:autoSpaceDN/>
        <w:bidi w:val="0"/>
        <w:adjustRightInd/>
        <w:snapToGrid/>
        <w:spacing w:line="360" w:lineRule="auto"/>
        <w:ind w:left="0" w:firstLine="643"/>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（四）预算绩效情况</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2021年，按照“先有绩效，后有预算”原则，本单位共计编制绩效目标5个，预算金额538.6万元，占项目支出预算比重100%。</w:t>
      </w:r>
    </w:p>
    <w:p>
      <w:pPr>
        <w:keepNext w:val="0"/>
        <w:keepLines w:val="0"/>
        <w:pageBreakBefore w:val="0"/>
        <w:widowControl/>
        <w:kinsoku/>
        <w:wordWrap/>
        <w:overflowPunct/>
        <w:topLinePunct w:val="0"/>
        <w:autoSpaceDE/>
        <w:autoSpaceDN/>
        <w:bidi w:val="0"/>
        <w:adjustRightInd/>
        <w:snapToGrid/>
        <w:spacing w:line="360" w:lineRule="auto"/>
        <w:ind w:left="0" w:firstLine="643"/>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（五）国有资产占有使用情况</w:t>
      </w:r>
    </w:p>
    <w:p>
      <w:pPr>
        <w:keepNext w:val="0"/>
        <w:keepLines w:val="0"/>
        <w:pageBreakBefore w:val="0"/>
        <w:widowControl/>
        <w:kinsoku/>
        <w:wordWrap/>
        <w:overflowPunct/>
        <w:topLinePunct w:val="0"/>
        <w:autoSpaceDE/>
        <w:autoSpaceDN/>
        <w:bidi w:val="0"/>
        <w:adjustRightInd/>
        <w:snapToGrid/>
        <w:spacing w:line="360" w:lineRule="auto"/>
        <w:ind w:left="0" w:firstLine="645"/>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截至2020年12月31日，本单位共有车辆2辆，其中，副部（省）级及以上领导用车0辆，主要领导干部用车0辆，机要通信用车1辆，应急保障用车1辆, 执法执勤用车0辆，特种专业技术用车0辆，离退休干部用车0辆，其他用车0辆。单位价值50万元（含）以上通用设备0台（套），单位价值100万元以上专用设备0台（套）。</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 </w:t>
      </w:r>
    </w:p>
    <w:p>
      <w:pPr>
        <w:keepNext w:val="0"/>
        <w:keepLines w:val="0"/>
        <w:pageBreakBefore w:val="0"/>
        <w:widowControl/>
        <w:kinsoku/>
        <w:wordWrap/>
        <w:overflowPunct/>
        <w:topLinePunct w:val="0"/>
        <w:autoSpaceDE/>
        <w:autoSpaceDN/>
        <w:bidi w:val="0"/>
        <w:adjustRightInd/>
        <w:snapToGrid/>
        <w:spacing w:line="360" w:lineRule="auto"/>
        <w:ind w:left="0" w:firstLine="480"/>
        <w:jc w:val="center"/>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 </w:t>
      </w:r>
    </w:p>
    <w:p>
      <w:pPr>
        <w:keepNext w:val="0"/>
        <w:keepLines w:val="0"/>
        <w:pageBreakBefore w:val="0"/>
        <w:widowControl/>
        <w:kinsoku/>
        <w:wordWrap/>
        <w:overflowPunct/>
        <w:topLinePunct w:val="0"/>
        <w:autoSpaceDE/>
        <w:autoSpaceDN/>
        <w:bidi w:val="0"/>
        <w:adjustRightInd/>
        <w:snapToGrid/>
        <w:spacing w:line="360" w:lineRule="auto"/>
        <w:ind w:left="0" w:firstLine="48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 </w:t>
      </w:r>
    </w:p>
    <w:p>
      <w:pPr>
        <w:keepNext w:val="0"/>
        <w:keepLines w:val="0"/>
        <w:pageBreakBefore w:val="0"/>
        <w:widowControl/>
        <w:kinsoku/>
        <w:wordWrap/>
        <w:overflowPunct/>
        <w:topLinePunct w:val="0"/>
        <w:autoSpaceDE/>
        <w:autoSpaceDN/>
        <w:bidi w:val="0"/>
        <w:adjustRightInd/>
        <w:snapToGrid/>
        <w:spacing w:line="360" w:lineRule="auto"/>
        <w:ind w:left="0" w:firstLine="480"/>
        <w:jc w:val="center"/>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第四部分  </w:t>
      </w:r>
    </w:p>
    <w:p>
      <w:pPr>
        <w:keepNext w:val="0"/>
        <w:keepLines w:val="0"/>
        <w:pageBreakBefore w:val="0"/>
        <w:widowControl/>
        <w:kinsoku/>
        <w:wordWrap/>
        <w:overflowPunct/>
        <w:topLinePunct w:val="0"/>
        <w:autoSpaceDE/>
        <w:autoSpaceDN/>
        <w:bidi w:val="0"/>
        <w:adjustRightInd/>
        <w:snapToGrid/>
        <w:spacing w:line="360" w:lineRule="auto"/>
        <w:ind w:left="0" w:firstLine="480"/>
        <w:jc w:val="center"/>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名词解释</w:t>
      </w:r>
    </w:p>
    <w:p>
      <w:pPr>
        <w:keepNext w:val="0"/>
        <w:keepLines w:val="0"/>
        <w:pageBreakBefore w:val="0"/>
        <w:widowControl/>
        <w:kinsoku/>
        <w:wordWrap/>
        <w:overflowPunct/>
        <w:topLinePunct w:val="0"/>
        <w:autoSpaceDE/>
        <w:autoSpaceDN/>
        <w:bidi w:val="0"/>
        <w:adjustRightInd/>
        <w:snapToGrid/>
        <w:spacing w:line="360" w:lineRule="auto"/>
        <w:ind w:left="0" w:firstLine="480"/>
        <w:jc w:val="center"/>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 </w:t>
      </w:r>
    </w:p>
    <w:p>
      <w:pPr>
        <w:keepNext w:val="0"/>
        <w:keepLines w:val="0"/>
        <w:pageBreakBefore w:val="0"/>
        <w:widowControl/>
        <w:kinsoku/>
        <w:wordWrap/>
        <w:overflowPunct/>
        <w:topLinePunct w:val="0"/>
        <w:autoSpaceDE/>
        <w:autoSpaceDN/>
        <w:bidi w:val="0"/>
        <w:adjustRightInd/>
        <w:snapToGrid/>
        <w:spacing w:line="360" w:lineRule="auto"/>
        <w:ind w:left="0" w:hanging="360"/>
        <w:jc w:val="left"/>
        <w:textAlignment w:val="auto"/>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1. </w:t>
      </w:r>
      <w:r>
        <w:rPr>
          <w:rFonts w:ascii="宋体" w:hAnsi="宋体" w:eastAsia="宋体" w:cs="宋体"/>
          <w:b/>
          <w:bCs/>
          <w:color w:val="000000" w:themeColor="text1"/>
          <w:kern w:val="0"/>
          <w:sz w:val="24"/>
          <w:szCs w:val="24"/>
        </w:rPr>
        <w:t>财政拨款收入：</w:t>
      </w:r>
      <w:r>
        <w:rPr>
          <w:rFonts w:ascii="宋体" w:hAnsi="宋体" w:eastAsia="宋体" w:cs="宋体"/>
          <w:color w:val="000000" w:themeColor="text1"/>
          <w:kern w:val="0"/>
          <w:sz w:val="24"/>
          <w:szCs w:val="24"/>
        </w:rPr>
        <w:t>指市财政当年拨付的资金。</w:t>
      </w:r>
    </w:p>
    <w:p>
      <w:pPr>
        <w:keepNext w:val="0"/>
        <w:keepLines w:val="0"/>
        <w:pageBreakBefore w:val="0"/>
        <w:widowControl/>
        <w:kinsoku/>
        <w:wordWrap/>
        <w:overflowPunct/>
        <w:topLinePunct w:val="0"/>
        <w:autoSpaceDE/>
        <w:autoSpaceDN/>
        <w:bidi w:val="0"/>
        <w:adjustRightInd/>
        <w:snapToGrid/>
        <w:spacing w:line="360" w:lineRule="auto"/>
        <w:ind w:left="0" w:firstLine="643"/>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2.事业收入：</w:t>
      </w:r>
      <w:r>
        <w:rPr>
          <w:rFonts w:ascii="宋体" w:hAnsi="宋体" w:eastAsia="宋体" w:cs="宋体"/>
          <w:color w:val="000000" w:themeColor="text1"/>
          <w:kern w:val="0"/>
          <w:sz w:val="24"/>
          <w:szCs w:val="24"/>
        </w:rPr>
        <w:t>指事业单位开展专业业务活动及其辅助活动取得的收入。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360" w:lineRule="auto"/>
        <w:ind w:left="0" w:firstLine="643"/>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3.经营收入：</w:t>
      </w:r>
      <w:r>
        <w:rPr>
          <w:rFonts w:ascii="宋体" w:hAnsi="宋体" w:eastAsia="宋体" w:cs="宋体"/>
          <w:color w:val="000000" w:themeColor="text1"/>
          <w:kern w:val="0"/>
          <w:sz w:val="24"/>
          <w:szCs w:val="24"/>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360" w:lineRule="auto"/>
        <w:ind w:left="0" w:firstLine="643"/>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4.其他收入：</w:t>
      </w:r>
      <w:r>
        <w:rPr>
          <w:rFonts w:ascii="宋体" w:hAnsi="宋体" w:eastAsia="宋体" w:cs="宋体"/>
          <w:color w:val="000000" w:themeColor="text1"/>
          <w:kern w:val="0"/>
          <w:sz w:val="24"/>
          <w:szCs w:val="24"/>
        </w:rPr>
        <w:t>指单位取得的除“财政拨款收入”、“事业收入”、“经营收入”等以外的收入。</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5.基本支出：</w:t>
      </w:r>
      <w:r>
        <w:rPr>
          <w:rFonts w:ascii="宋体" w:hAnsi="宋体" w:eastAsia="宋体" w:cs="宋体"/>
          <w:color w:val="000000" w:themeColor="text1"/>
          <w:kern w:val="0"/>
          <w:sz w:val="24"/>
          <w:szCs w:val="24"/>
        </w:rPr>
        <w:t>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6.项目支出：</w:t>
      </w:r>
      <w:r>
        <w:rPr>
          <w:rFonts w:ascii="宋体" w:hAnsi="宋体" w:eastAsia="宋体" w:cs="宋体"/>
          <w:color w:val="000000" w:themeColor="text1"/>
          <w:kern w:val="0"/>
          <w:sz w:val="24"/>
          <w:szCs w:val="24"/>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7.“三公”经费：</w:t>
      </w:r>
      <w:r>
        <w:rPr>
          <w:rFonts w:ascii="宋体" w:hAnsi="宋体" w:eastAsia="宋体" w:cs="宋体"/>
          <w:color w:val="000000" w:themeColor="text1"/>
          <w:kern w:val="0"/>
          <w:sz w:val="24"/>
          <w:szCs w:val="24"/>
        </w:rPr>
        <w:t>指用财政拨款安排的因公出国（境）费、公务用车购置及运行费和公务接待费。其中，因公出国（境）费反映单位公务出国（境）的住宿费、旅费、伙食补助费、杂费、培训费等支出；公务用车购置及运行费反映单位公务用车购置费以及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8. 社会保障和就业（类）行政事业单位离退休（款）归口管理的行政单位离退休（项）：</w:t>
      </w:r>
      <w:r>
        <w:rPr>
          <w:rFonts w:ascii="宋体" w:hAnsi="宋体" w:eastAsia="宋体" w:cs="宋体"/>
          <w:color w:val="000000" w:themeColor="text1"/>
          <w:kern w:val="0"/>
          <w:sz w:val="24"/>
          <w:szCs w:val="24"/>
        </w:rPr>
        <w:t>反映行政单位离退休人员的支出。</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9.社会保障和就业（类）行政事业单位离退休（款）事业单位离退休（项）：</w:t>
      </w:r>
      <w:r>
        <w:rPr>
          <w:rFonts w:ascii="宋体" w:hAnsi="宋体" w:eastAsia="宋体" w:cs="宋体"/>
          <w:color w:val="000000" w:themeColor="text1"/>
          <w:kern w:val="0"/>
          <w:sz w:val="24"/>
          <w:szCs w:val="24"/>
        </w:rPr>
        <w:t>反映实行归口管理的事业单位开支的离退休经费。</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10.医疗卫生与计划生育支出（类）医疗保障（款）事业单位医疗（项）：</w:t>
      </w:r>
      <w:r>
        <w:rPr>
          <w:rFonts w:ascii="宋体" w:hAnsi="宋体" w:eastAsia="宋体" w:cs="宋体"/>
          <w:color w:val="000000" w:themeColor="text1"/>
          <w:kern w:val="0"/>
          <w:sz w:val="24"/>
          <w:szCs w:val="24"/>
        </w:rPr>
        <w:t>反映事业单位基本医疗保险缴费经费。</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11.医疗卫生与计划生育支出（类）医疗保障（款）公务员医疗补助（项）：</w:t>
      </w:r>
      <w:r>
        <w:rPr>
          <w:rFonts w:ascii="宋体" w:hAnsi="宋体" w:eastAsia="宋体" w:cs="宋体"/>
          <w:color w:val="000000" w:themeColor="text1"/>
          <w:kern w:val="0"/>
          <w:sz w:val="24"/>
          <w:szCs w:val="24"/>
        </w:rPr>
        <w:t>反映财政部门集中安排的公务员医疗补助经费。</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12.住房保障（类）住房改革支出（款）住房公积金（项）指</w:t>
      </w:r>
      <w:r>
        <w:rPr>
          <w:rFonts w:ascii="宋体" w:hAnsi="宋体" w:eastAsia="宋体" w:cs="宋体"/>
          <w:color w:val="000000" w:themeColor="text1"/>
          <w:kern w:val="0"/>
          <w:sz w:val="24"/>
          <w:szCs w:val="24"/>
        </w:rPr>
        <w:t>按照《住房公积金管理条例》的规定，由单位及在职职工缴存的长期住房储备金。</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13.住房保障（类）住房改革支出（款）提租补贴（项）：</w:t>
      </w:r>
      <w:r>
        <w:rPr>
          <w:rFonts w:ascii="宋体" w:hAnsi="宋体" w:eastAsia="宋体" w:cs="宋体"/>
          <w:color w:val="000000" w:themeColor="text1"/>
          <w:kern w:val="0"/>
          <w:sz w:val="24"/>
          <w:szCs w:val="24"/>
        </w:rPr>
        <w:t>反映按房改政策规定的标准，行政事业单位向职工（含离退休）人员发放的租金补贴。</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14.城乡社区支出（类）城乡社区管理事务（款）行政运行（项）：</w:t>
      </w:r>
      <w:r>
        <w:rPr>
          <w:rFonts w:ascii="宋体" w:hAnsi="宋体" w:eastAsia="宋体" w:cs="宋体"/>
          <w:color w:val="000000" w:themeColor="text1"/>
          <w:kern w:val="0"/>
          <w:sz w:val="24"/>
          <w:szCs w:val="24"/>
        </w:rPr>
        <w:t>反映行政单位（包括实行公务员管理的事业单位）的基本支出。</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15.城乡社区支出（类）城乡社区管理事务（款）城管执法（项）：</w:t>
      </w:r>
      <w:r>
        <w:rPr>
          <w:rFonts w:ascii="宋体" w:hAnsi="宋体" w:eastAsia="宋体" w:cs="宋体"/>
          <w:color w:val="000000" w:themeColor="text1"/>
          <w:kern w:val="0"/>
          <w:sz w:val="24"/>
          <w:szCs w:val="24"/>
        </w:rPr>
        <w:t>反映城市管理综合行政执法、加强城市市容和环境卫生管理等方面的支出。</w:t>
      </w:r>
    </w:p>
    <w:p>
      <w:pPr>
        <w:keepNext w:val="0"/>
        <w:keepLines w:val="0"/>
        <w:pageBreakBefore w:val="0"/>
        <w:widowControl/>
        <w:kinsoku/>
        <w:wordWrap/>
        <w:overflowPunct/>
        <w:topLinePunct w:val="0"/>
        <w:autoSpaceDE/>
        <w:autoSpaceDN/>
        <w:bidi w:val="0"/>
        <w:adjustRightInd/>
        <w:snapToGrid/>
        <w:spacing w:line="360" w:lineRule="auto"/>
        <w:ind w:left="0" w:firstLine="640"/>
        <w:jc w:val="left"/>
        <w:textAlignment w:val="auto"/>
        <w:rPr>
          <w:rFonts w:ascii="宋体" w:hAnsi="宋体" w:eastAsia="宋体" w:cs="宋体"/>
          <w:color w:val="000000" w:themeColor="text1"/>
          <w:kern w:val="0"/>
          <w:sz w:val="24"/>
          <w:szCs w:val="24"/>
        </w:rPr>
      </w:pPr>
      <w:r>
        <w:rPr>
          <w:rFonts w:ascii="宋体" w:hAnsi="宋体" w:eastAsia="宋体" w:cs="宋体"/>
          <w:b/>
          <w:bCs/>
          <w:color w:val="000000" w:themeColor="text1"/>
          <w:kern w:val="0"/>
          <w:sz w:val="24"/>
          <w:szCs w:val="24"/>
        </w:rPr>
        <w:t>16.城乡社区支出（类）城乡社区管理事务（款）其他城乡社区管理事务支出（项）：</w:t>
      </w:r>
      <w:r>
        <w:rPr>
          <w:rFonts w:ascii="宋体" w:hAnsi="宋体" w:eastAsia="宋体" w:cs="宋体"/>
          <w:color w:val="000000" w:themeColor="text1"/>
          <w:kern w:val="0"/>
          <w:sz w:val="24"/>
          <w:szCs w:val="24"/>
        </w:rPr>
        <w:t>反映除上述项目以外其他用于城乡社区管理事务方面的支出</w:t>
      </w:r>
    </w:p>
    <w:p>
      <w:pPr>
        <w:keepNext w:val="0"/>
        <w:keepLines w:val="0"/>
        <w:pageBreakBefore w:val="0"/>
        <w:kinsoku/>
        <w:wordWrap/>
        <w:overflowPunct/>
        <w:topLinePunct w:val="0"/>
        <w:autoSpaceDE/>
        <w:autoSpaceDN/>
        <w:bidi w:val="0"/>
        <w:adjustRightInd/>
        <w:snapToGrid/>
        <w:spacing w:line="360" w:lineRule="auto"/>
        <w:ind w:left="0"/>
        <w:textAlignment w:val="auto"/>
        <w:rPr>
          <w:color w:val="000000" w:themeColor="text1"/>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0C00"/>
    <w:rsid w:val="00083E3B"/>
    <w:rsid w:val="003C1BE2"/>
    <w:rsid w:val="006A15A1"/>
    <w:rsid w:val="006D2CF4"/>
    <w:rsid w:val="007D0C00"/>
    <w:rsid w:val="00AE0CDF"/>
    <w:rsid w:val="00CD6464"/>
    <w:rsid w:val="00DE0DB4"/>
    <w:rsid w:val="00EB5FFE"/>
    <w:rsid w:val="16C44DDC"/>
    <w:rsid w:val="1F9B0D4C"/>
    <w:rsid w:val="51F13BAF"/>
    <w:rsid w:val="60E75B07"/>
    <w:rsid w:val="66116F88"/>
    <w:rsid w:val="6E746BA8"/>
    <w:rsid w:val="6FCC382A"/>
    <w:rsid w:val="76D328CE"/>
    <w:rsid w:val="79B8098A"/>
    <w:rsid w:val="7AE10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标题 2 Char"/>
    <w:basedOn w:val="9"/>
    <w:link w:val="2"/>
    <w:qFormat/>
    <w:uiPriority w:val="9"/>
    <w:rPr>
      <w:rFonts w:ascii="宋体" w:hAnsi="宋体" w:eastAsia="宋体" w:cs="宋体"/>
      <w:b/>
      <w:bCs/>
      <w:kern w:val="0"/>
      <w:sz w:val="36"/>
      <w:szCs w:val="36"/>
    </w:rPr>
  </w:style>
  <w:style w:type="paragraph" w:customStyle="1" w:styleId="13">
    <w:name w:val="text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textrigh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页眉 Char"/>
    <w:basedOn w:val="9"/>
    <w:link w:val="6"/>
    <w:semiHidden/>
    <w:qFormat/>
    <w:uiPriority w:val="99"/>
    <w:rPr>
      <w:sz w:val="18"/>
      <w:szCs w:val="18"/>
    </w:rPr>
  </w:style>
  <w:style w:type="character" w:customStyle="1" w:styleId="16">
    <w:name w:val="页脚 Char"/>
    <w:basedOn w:val="9"/>
    <w:link w:val="5"/>
    <w:semiHidden/>
    <w:qFormat/>
    <w:uiPriority w:val="99"/>
    <w:rPr>
      <w:sz w:val="18"/>
      <w:szCs w:val="18"/>
    </w:rPr>
  </w:style>
  <w:style w:type="character" w:customStyle="1" w:styleId="17">
    <w:name w:val="批注文字 Char"/>
    <w:basedOn w:val="9"/>
    <w:link w:val="3"/>
    <w:semiHidden/>
    <w:qFormat/>
    <w:uiPriority w:val="99"/>
  </w:style>
  <w:style w:type="character" w:customStyle="1" w:styleId="18">
    <w:name w:val="批注主题 Char"/>
    <w:basedOn w:val="17"/>
    <w:link w:val="7"/>
    <w:semiHidden/>
    <w:qFormat/>
    <w:uiPriority w:val="99"/>
    <w:rPr>
      <w:b/>
      <w:bCs/>
    </w:rPr>
  </w:style>
  <w:style w:type="character" w:customStyle="1" w:styleId="19">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1103</Words>
  <Characters>6293</Characters>
  <Lines>52</Lines>
  <Paragraphs>14</Paragraphs>
  <TotalTime>26</TotalTime>
  <ScaleCrop>false</ScaleCrop>
  <LinksUpToDate>false</LinksUpToDate>
  <CharactersWithSpaces>7382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2021-04-22T07:31:00Z</dcterms:created>
  <dc:creator>Admin</dc:creator>
  <cp:lastModifiedBy>user</cp:lastModifiedBy>
  <dcterms:modified xsi:type="dcterms:W3CDTF">2021-06-16T08:35:43Z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2862379C5ABF4FF5B31A6F6C52AED59D</vt:lpwstr>
  </property>
</Properties>
</file>