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Chars="0"/>
        <w:jc w:val="center"/>
        <w:rPr>
          <w:rFonts w:hint="eastAsia" w:ascii="宋体" w:hAnsi="宋体" w:eastAsia="宋体"/>
          <w:color w:val="000024"/>
          <w:sz w:val="24"/>
          <w:szCs w:val="24"/>
        </w:rPr>
      </w:pPr>
    </w:p>
    <w:p>
      <w:pPr>
        <w:spacing w:line="360" w:lineRule="auto"/>
        <w:ind w:firstLineChars="0"/>
        <w:jc w:val="center"/>
        <w:rPr>
          <w:rFonts w:hint="eastAsia" w:ascii="宋体" w:hAnsi="宋体" w:eastAsia="宋体"/>
          <w:color w:val="000024"/>
          <w:sz w:val="24"/>
          <w:szCs w:val="24"/>
        </w:rPr>
      </w:pPr>
    </w:p>
    <w:p>
      <w:pPr>
        <w:spacing w:line="360" w:lineRule="auto"/>
        <w:ind w:firstLineChars="0"/>
        <w:jc w:val="center"/>
        <w:rPr>
          <w:rFonts w:hint="eastAsia" w:ascii="宋体" w:hAnsi="宋体" w:eastAsia="宋体"/>
          <w:color w:val="000024"/>
          <w:sz w:val="24"/>
          <w:szCs w:val="24"/>
        </w:rPr>
      </w:pPr>
    </w:p>
    <w:p>
      <w:pPr>
        <w:spacing w:line="360" w:lineRule="auto"/>
        <w:ind w:firstLineChars="0"/>
        <w:jc w:val="center"/>
        <w:rPr>
          <w:rFonts w:hint="eastAsia" w:ascii="宋体" w:hAnsi="宋体" w:eastAsia="宋体"/>
          <w:color w:val="000024"/>
          <w:sz w:val="24"/>
          <w:szCs w:val="24"/>
        </w:rPr>
      </w:pPr>
    </w:p>
    <w:p>
      <w:pPr>
        <w:spacing w:line="360" w:lineRule="auto"/>
        <w:ind w:firstLineChars="0"/>
        <w:jc w:val="center"/>
        <w:rPr>
          <w:rFonts w:hint="eastAsia" w:ascii="宋体" w:hAnsi="宋体" w:eastAsia="宋体"/>
          <w:b/>
          <w:color w:val="000052"/>
          <w:sz w:val="52"/>
          <w:szCs w:val="52"/>
        </w:rPr>
      </w:pPr>
      <w:r>
        <w:rPr>
          <w:rFonts w:hint="eastAsia" w:ascii="宋体" w:hAnsi="宋体" w:eastAsia="宋体"/>
          <w:b/>
          <w:color w:val="000052"/>
          <w:sz w:val="52"/>
          <w:szCs w:val="52"/>
        </w:rPr>
        <w:t>2020年度庄河市大营镇人民政府（本级）</w:t>
      </w:r>
    </w:p>
    <w:p>
      <w:pPr>
        <w:spacing w:line="360" w:lineRule="auto"/>
        <w:ind w:firstLineChars="0"/>
        <w:jc w:val="center"/>
        <w:rPr>
          <w:rFonts w:hint="eastAsia" w:ascii="宋体" w:hAnsi="宋体" w:eastAsia="宋体"/>
          <w:b/>
          <w:color w:val="000052"/>
          <w:sz w:val="52"/>
          <w:szCs w:val="52"/>
        </w:rPr>
      </w:pPr>
      <w:r>
        <w:rPr>
          <w:rFonts w:hint="eastAsia" w:ascii="宋体" w:hAnsi="宋体" w:eastAsia="宋体"/>
          <w:b/>
          <w:color w:val="000052"/>
          <w:sz w:val="52"/>
          <w:szCs w:val="52"/>
        </w:rPr>
        <w:t>财务报告</w:t>
      </w:r>
    </w:p>
    <w:p>
      <w:pPr>
        <w:spacing w:line="360" w:lineRule="auto"/>
        <w:ind w:firstLineChars="0"/>
        <w:jc w:val="center"/>
        <w:rPr>
          <w:rFonts w:hint="eastAsia" w:ascii="宋体" w:hAnsi="宋体" w:eastAsia="宋体"/>
          <w:b/>
          <w:color w:val="000052"/>
          <w:sz w:val="52"/>
          <w:szCs w:val="52"/>
        </w:rPr>
      </w:pPr>
    </w:p>
    <w:p>
      <w:pPr>
        <w:spacing w:line="360" w:lineRule="auto"/>
        <w:ind w:firstLineChars="0"/>
        <w:jc w:val="center"/>
        <w:rPr>
          <w:rFonts w:hint="eastAsia" w:ascii="宋体" w:hAnsi="宋体" w:eastAsia="宋体"/>
          <w:b/>
          <w:color w:val="000052"/>
          <w:sz w:val="52"/>
          <w:szCs w:val="52"/>
        </w:rPr>
      </w:pPr>
    </w:p>
    <w:p>
      <w:pPr>
        <w:spacing w:line="360" w:lineRule="auto"/>
        <w:ind w:firstLineChars="0"/>
        <w:jc w:val="center"/>
        <w:rPr>
          <w:rFonts w:hint="eastAsia" w:ascii="宋体" w:hAnsi="宋体" w:eastAsia="宋体"/>
          <w:b/>
          <w:color w:val="000052"/>
          <w:sz w:val="52"/>
          <w:szCs w:val="52"/>
        </w:rPr>
      </w:pPr>
    </w:p>
    <w:p>
      <w:pPr>
        <w:spacing w:line="360" w:lineRule="auto"/>
        <w:ind w:firstLineChars="0"/>
        <w:jc w:val="center"/>
        <w:rPr>
          <w:rFonts w:hint="eastAsia" w:ascii="宋体" w:hAnsi="宋体" w:eastAsia="宋体"/>
          <w:b/>
          <w:color w:val="000052"/>
          <w:sz w:val="52"/>
          <w:szCs w:val="52"/>
        </w:rPr>
      </w:pPr>
    </w:p>
    <w:p>
      <w:pPr>
        <w:spacing w:line="360" w:lineRule="auto"/>
        <w:ind w:firstLineChars="0"/>
        <w:jc w:val="center"/>
        <w:rPr>
          <w:rFonts w:hint="eastAsia" w:ascii="宋体" w:hAnsi="宋体" w:eastAsia="宋体"/>
          <w:b/>
          <w:color w:val="000052"/>
          <w:sz w:val="52"/>
          <w:szCs w:val="52"/>
        </w:rPr>
      </w:pPr>
    </w:p>
    <w:p>
      <w:pPr>
        <w:spacing w:line="360" w:lineRule="auto"/>
        <w:ind w:firstLineChars="700"/>
        <w:jc w:val="left"/>
        <w:rPr>
          <w:rFonts w:hint="eastAsia" w:ascii="宋体" w:hAnsi="宋体" w:eastAsia="宋体"/>
          <w:color w:val="000032"/>
          <w:sz w:val="32"/>
          <w:szCs w:val="32"/>
        </w:rPr>
      </w:pPr>
      <w:r>
        <w:rPr>
          <w:rFonts w:hint="eastAsia" w:ascii="宋体" w:hAnsi="宋体" w:eastAsia="宋体"/>
          <w:color w:val="000032"/>
          <w:sz w:val="32"/>
          <w:szCs w:val="32"/>
        </w:rPr>
        <w:t>部门（单位）名称：庄河市大营镇人民政府（本级）</w:t>
      </w:r>
    </w:p>
    <w:p>
      <w:pPr>
        <w:spacing w:line="360" w:lineRule="auto"/>
        <w:ind w:firstLineChars="700"/>
        <w:jc w:val="left"/>
        <w:rPr>
          <w:rFonts w:hint="eastAsia" w:ascii="宋体" w:hAnsi="宋体" w:eastAsia="宋体"/>
          <w:color w:val="000032"/>
          <w:sz w:val="32"/>
          <w:szCs w:val="32"/>
        </w:rPr>
      </w:pPr>
    </w:p>
    <w:p>
      <w:pPr>
        <w:spacing w:line="360" w:lineRule="auto"/>
        <w:ind w:firstLineChars="700"/>
        <w:jc w:val="left"/>
        <w:rPr>
          <w:rFonts w:hint="eastAsia" w:ascii="宋体" w:hAnsi="宋体" w:eastAsia="宋体"/>
          <w:color w:val="000032"/>
          <w:sz w:val="32"/>
          <w:szCs w:val="32"/>
        </w:rPr>
      </w:pPr>
      <w:r>
        <w:rPr>
          <w:rFonts w:hint="eastAsia" w:ascii="宋体" w:hAnsi="宋体" w:eastAsia="宋体"/>
          <w:color w:val="000032"/>
          <w:sz w:val="32"/>
          <w:szCs w:val="32"/>
        </w:rPr>
        <w:t>单位负责人：刘晓君</w:t>
      </w:r>
    </w:p>
    <w:p>
      <w:pPr>
        <w:spacing w:line="360" w:lineRule="auto"/>
        <w:ind w:firstLineChars="700"/>
        <w:jc w:val="left"/>
        <w:rPr>
          <w:rFonts w:hint="eastAsia" w:ascii="宋体" w:hAnsi="宋体" w:eastAsia="宋体"/>
          <w:color w:val="000032"/>
          <w:sz w:val="32"/>
          <w:szCs w:val="32"/>
        </w:rPr>
      </w:pPr>
      <w:r>
        <w:rPr>
          <w:rFonts w:hint="eastAsia" w:ascii="宋体" w:hAnsi="宋体" w:eastAsia="宋体"/>
          <w:color w:val="000032"/>
          <w:sz w:val="32"/>
          <w:szCs w:val="32"/>
        </w:rPr>
        <w:t>财务负责人：陈兆言</w:t>
      </w:r>
    </w:p>
    <w:p>
      <w:pPr>
        <w:spacing w:line="360" w:lineRule="auto"/>
        <w:ind w:firstLineChars="700"/>
        <w:jc w:val="left"/>
        <w:rPr>
          <w:rFonts w:hint="eastAsia" w:ascii="宋体" w:hAnsi="宋体" w:eastAsia="宋体"/>
          <w:color w:val="000032"/>
          <w:sz w:val="32"/>
          <w:szCs w:val="32"/>
        </w:rPr>
      </w:pPr>
      <w:r>
        <w:rPr>
          <w:rFonts w:hint="eastAsia" w:ascii="宋体" w:hAnsi="宋体" w:eastAsia="宋体"/>
          <w:color w:val="000032"/>
          <w:sz w:val="32"/>
          <w:szCs w:val="32"/>
        </w:rPr>
        <w:t>编制人：南金国</w:t>
      </w:r>
    </w:p>
    <w:p>
      <w:pPr>
        <w:spacing w:line="360" w:lineRule="auto"/>
        <w:ind w:firstLineChars="700"/>
        <w:jc w:val="left"/>
        <w:rPr>
          <w:rFonts w:hint="eastAsia" w:ascii="宋体" w:hAnsi="宋体" w:eastAsia="宋体"/>
          <w:color w:val="000032"/>
          <w:sz w:val="32"/>
          <w:szCs w:val="32"/>
        </w:rPr>
      </w:pPr>
      <w:r>
        <w:rPr>
          <w:rFonts w:hint="eastAsia" w:ascii="宋体" w:hAnsi="宋体" w:eastAsia="宋体"/>
          <w:color w:val="000032"/>
          <w:sz w:val="32"/>
          <w:szCs w:val="32"/>
        </w:rPr>
        <w:t>报送日期：2021年06月</w:t>
      </w:r>
    </w:p>
    <w:p>
      <w:pPr>
        <w:ind w:firstLineChars="700"/>
        <w:rPr>
          <w:rFonts w:hint="default" w:ascii="仿宋" w:hAnsi="仿宋" w:eastAsia="仿宋"/>
          <w:b/>
          <w:sz w:val="32"/>
          <w:szCs w:val="32"/>
        </w:rPr>
        <w:sectPr>
          <w:footerReference r:id="rId3" w:type="even"/>
          <w:pgSz w:w="11906" w:h="16838"/>
          <w:pgMar w:top="1440" w:right="1083" w:bottom="1440" w:left="1083" w:header="0" w:footer="720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jc w:val="center"/>
      </w:pPr>
      <w:r>
        <w:rPr>
          <w:rFonts w:hint="eastAsia" w:ascii="宋体" w:hAnsi="宋体"/>
          <w:b/>
          <w:sz w:val="32"/>
          <w:szCs w:val="32"/>
        </w:rPr>
        <w:t>目 录</w:t>
      </w:r>
      <w:r>
        <w:rPr>
          <w:rFonts w:hint="default" w:ascii="宋体" w:hAnsi="宋体"/>
          <w:b/>
          <w:sz w:val="32"/>
          <w:szCs w:val="32"/>
        </w:rPr>
        <w:fldChar w:fldCharType="begin"/>
      </w:r>
      <w:r>
        <w:rPr>
          <w:rFonts w:hint="default" w:ascii="宋体" w:hAnsi="宋体"/>
          <w:b/>
          <w:sz w:val="32"/>
          <w:szCs w:val="32"/>
        </w:rPr>
        <w:instrText xml:space="preserve"> </w:instrText>
      </w:r>
      <w:r>
        <w:rPr>
          <w:rFonts w:hint="eastAsia" w:ascii="宋体" w:hAnsi="宋体"/>
          <w:b/>
          <w:sz w:val="32"/>
          <w:szCs w:val="32"/>
        </w:rPr>
        <w:instrText xml:space="preserve">TOC \o \h \z \u</w:instrText>
      </w:r>
      <w:r>
        <w:rPr>
          <w:rFonts w:hint="default" w:ascii="宋体" w:hAnsi="宋体"/>
          <w:b/>
          <w:sz w:val="32"/>
          <w:szCs w:val="32"/>
        </w:rPr>
        <w:instrText xml:space="preserve"> </w:instrText>
      </w:r>
      <w:r>
        <w:rPr>
          <w:rFonts w:hint="default" w:ascii="宋体" w:hAnsi="宋体"/>
          <w:b/>
          <w:sz w:val="32"/>
          <w:szCs w:val="32"/>
        </w:rPr>
        <w:fldChar w:fldCharType="separate"/>
      </w:r>
    </w:p>
    <w:p>
      <w:pPr>
        <w:pStyle w:val="12"/>
        <w:tabs>
          <w:tab w:val="right" w:leader="dot" w:pos="9730"/>
        </w:tabs>
        <w:rPr>
          <w:b w:val="0"/>
          <w:sz w:val="21"/>
          <w:szCs w:val="24"/>
        </w:rPr>
      </w:pPr>
      <w:r>
        <w:fldChar w:fldCharType="begin"/>
      </w:r>
      <w:r>
        <w:instrText xml:space="preserve">HYPERLINK \l"_Toc60821793"</w:instrText>
      </w:r>
      <w:r>
        <w:fldChar w:fldCharType="separate"/>
      </w:r>
      <w:r>
        <w:rPr>
          <w:rStyle w:val="20"/>
          <w:rFonts w:hint="eastAsia" w:eastAsia="黑体"/>
        </w:rPr>
        <w:t>一、政府部门财务报表</w:t>
      </w:r>
      <w:r>
        <w:tab/>
      </w:r>
      <w:r>
        <w:fldChar w:fldCharType="begin"/>
      </w:r>
      <w:r>
        <w:instrText xml:space="preserve"> PAGEREF _Toc60821793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730"/>
        </w:tabs>
        <w:ind w:firstLine="480"/>
        <w:rPr>
          <w:iCs w:val="0"/>
          <w:sz w:val="21"/>
          <w:szCs w:val="24"/>
        </w:rPr>
      </w:pPr>
      <w:r>
        <w:fldChar w:fldCharType="begin"/>
      </w:r>
      <w:r>
        <w:instrText xml:space="preserve">HYPERLINK \l"_Toc60821794"</w:instrText>
      </w:r>
      <w:r>
        <w:fldChar w:fldCharType="separate"/>
      </w:r>
      <w:r>
        <w:rPr>
          <w:rStyle w:val="20"/>
          <w:rFonts w:hint="eastAsia" w:ascii="楷体" w:hAnsi="楷体" w:eastAsia="楷体"/>
        </w:rPr>
        <w:t>（一）政府部门会计报表</w:t>
      </w:r>
      <w:r>
        <w:tab/>
      </w:r>
      <w:r>
        <w:fldChar w:fldCharType="begin"/>
      </w:r>
      <w:r>
        <w:instrText xml:space="preserve"> PAGEREF _Toc60821794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0"/>
        </w:tabs>
        <w:ind w:firstLine="960"/>
        <w:rPr>
          <w:sz w:val="21"/>
          <w:szCs w:val="24"/>
        </w:rPr>
      </w:pPr>
      <w:r>
        <w:fldChar w:fldCharType="begin"/>
      </w:r>
      <w:r>
        <w:instrText xml:space="preserve">HYPERLINK \l"_Toc60821795"</w:instrText>
      </w:r>
      <w:r>
        <w:fldChar w:fldCharType="separate"/>
      </w:r>
      <w:r>
        <w:rPr>
          <w:rStyle w:val="20"/>
          <w:rFonts w:hint="eastAsia"/>
        </w:rPr>
        <w:t>资产负债表</w:t>
      </w:r>
      <w:r>
        <w:tab/>
      </w:r>
      <w:r>
        <w:fldChar w:fldCharType="begin"/>
      </w:r>
      <w:r>
        <w:instrText xml:space="preserve"> PAGEREF _Toc60821795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0"/>
        </w:tabs>
        <w:ind w:firstLine="960"/>
        <w:rPr>
          <w:sz w:val="21"/>
          <w:szCs w:val="24"/>
        </w:rPr>
      </w:pPr>
      <w:r>
        <w:fldChar w:fldCharType="begin"/>
      </w:r>
      <w:r>
        <w:instrText xml:space="preserve">HYPERLINK \l"_Toc60821796"</w:instrText>
      </w:r>
      <w:r>
        <w:fldChar w:fldCharType="separate"/>
      </w:r>
      <w:r>
        <w:rPr>
          <w:rStyle w:val="20"/>
          <w:rFonts w:hint="eastAsia"/>
        </w:rPr>
        <w:t>收入费用表（</w:t>
      </w:r>
      <w:r>
        <w:rPr>
          <w:rStyle w:val="20"/>
        </w:rPr>
        <w:t>1</w:t>
      </w:r>
      <w:r>
        <w:rPr>
          <w:rStyle w:val="20"/>
          <w:rFonts w:hint="eastAsia"/>
        </w:rPr>
        <w:t>）</w:t>
      </w:r>
      <w:r>
        <w:tab/>
      </w:r>
      <w:r>
        <w:fldChar w:fldCharType="begin"/>
      </w:r>
      <w:r>
        <w:instrText xml:space="preserve"> PAGEREF _Toc60821796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0"/>
        </w:tabs>
        <w:ind w:firstLine="960"/>
        <w:rPr>
          <w:sz w:val="21"/>
          <w:szCs w:val="24"/>
        </w:rPr>
      </w:pPr>
      <w:r>
        <w:fldChar w:fldCharType="begin"/>
      </w:r>
      <w:r>
        <w:instrText xml:space="preserve">HYPERLINK \l"_Toc60821797"</w:instrText>
      </w:r>
      <w:r>
        <w:fldChar w:fldCharType="separate"/>
      </w:r>
      <w:r>
        <w:rPr>
          <w:rStyle w:val="20"/>
          <w:rFonts w:hint="eastAsia"/>
        </w:rPr>
        <w:t>收入费用表（</w:t>
      </w:r>
      <w:r>
        <w:rPr>
          <w:rStyle w:val="20"/>
        </w:rPr>
        <w:t>2</w:t>
      </w:r>
      <w:r>
        <w:rPr>
          <w:rStyle w:val="20"/>
          <w:rFonts w:hint="eastAsia"/>
        </w:rPr>
        <w:t>）</w:t>
      </w:r>
      <w:r>
        <w:tab/>
      </w:r>
      <w:r>
        <w:fldChar w:fldCharType="begin"/>
      </w:r>
      <w:r>
        <w:instrText xml:space="preserve"> PAGEREF _Toc60821797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730"/>
        </w:tabs>
        <w:ind w:firstLine="480"/>
        <w:rPr>
          <w:iCs w:val="0"/>
          <w:sz w:val="21"/>
          <w:szCs w:val="24"/>
        </w:rPr>
      </w:pPr>
      <w:r>
        <w:fldChar w:fldCharType="begin"/>
      </w:r>
      <w:r>
        <w:instrText xml:space="preserve">HYPERLINK \l"_Toc60821798"</w:instrText>
      </w:r>
      <w:r>
        <w:fldChar w:fldCharType="separate"/>
      </w:r>
      <w:r>
        <w:rPr>
          <w:rStyle w:val="20"/>
          <w:rFonts w:hint="eastAsia" w:ascii="楷体" w:hAnsi="楷体" w:eastAsia="楷体"/>
        </w:rPr>
        <w:t>（二）政府部门会计报表附注</w:t>
      </w:r>
      <w:r>
        <w:tab/>
      </w:r>
      <w:r>
        <w:fldChar w:fldCharType="begin"/>
      </w:r>
      <w:r>
        <w:instrText xml:space="preserve"> PAGEREF _Toc60821798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0"/>
        </w:tabs>
        <w:ind w:firstLine="960"/>
        <w:rPr>
          <w:sz w:val="21"/>
          <w:szCs w:val="24"/>
        </w:rPr>
      </w:pPr>
      <w:r>
        <w:fldChar w:fldCharType="begin"/>
      </w:r>
      <w:r>
        <w:instrText xml:space="preserve">HYPERLINK \l"_Toc60821799"</w:instrText>
      </w:r>
      <w:r>
        <w:fldChar w:fldCharType="separate"/>
      </w:r>
      <w:r>
        <w:rPr>
          <w:rStyle w:val="20"/>
          <w:rFonts w:hint="default" w:ascii="宋体" w:hAnsi="宋体"/>
        </w:rPr>
        <w:t>1.</w:t>
      </w:r>
      <w:r>
        <w:rPr>
          <w:rStyle w:val="20"/>
          <w:rFonts w:hint="eastAsia" w:ascii="宋体" w:hAnsi="宋体"/>
        </w:rPr>
        <w:t>会计报表编制基础。</w:t>
      </w:r>
      <w:r>
        <w:tab/>
      </w:r>
      <w:r>
        <w:fldChar w:fldCharType="begin"/>
      </w:r>
      <w:r>
        <w:instrText xml:space="preserve"> PAGEREF _Toc60821799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0"/>
        </w:tabs>
        <w:ind w:firstLine="960"/>
        <w:rPr>
          <w:sz w:val="21"/>
          <w:szCs w:val="24"/>
        </w:rPr>
      </w:pPr>
      <w:r>
        <w:fldChar w:fldCharType="begin"/>
      </w:r>
      <w:r>
        <w:instrText xml:space="preserve">HYPERLINK \l"_Toc60821800"</w:instrText>
      </w:r>
      <w:r>
        <w:fldChar w:fldCharType="separate"/>
      </w:r>
      <w:r>
        <w:rPr>
          <w:rStyle w:val="20"/>
          <w:rFonts w:hint="default" w:ascii="宋体" w:hAnsi="宋体"/>
        </w:rPr>
        <w:t>2.</w:t>
      </w:r>
      <w:r>
        <w:rPr>
          <w:rStyle w:val="20"/>
          <w:rFonts w:hint="eastAsia" w:ascii="宋体" w:hAnsi="宋体"/>
        </w:rPr>
        <w:t>遵循相关制度规定的声明。</w:t>
      </w:r>
      <w:r>
        <w:tab/>
      </w:r>
      <w:r>
        <w:fldChar w:fldCharType="begin"/>
      </w:r>
      <w:r>
        <w:instrText xml:space="preserve"> PAGEREF _Toc60821800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0"/>
        </w:tabs>
        <w:ind w:firstLine="960"/>
        <w:rPr>
          <w:sz w:val="21"/>
          <w:szCs w:val="24"/>
        </w:rPr>
      </w:pPr>
      <w:r>
        <w:fldChar w:fldCharType="begin"/>
      </w:r>
      <w:r>
        <w:instrText xml:space="preserve">HYPERLINK \l"_Toc60821801"</w:instrText>
      </w:r>
      <w:r>
        <w:fldChar w:fldCharType="separate"/>
      </w:r>
      <w:r>
        <w:rPr>
          <w:rStyle w:val="20"/>
          <w:rFonts w:hint="default" w:ascii="宋体" w:hAnsi="宋体"/>
        </w:rPr>
        <w:t>3.</w:t>
      </w:r>
      <w:r>
        <w:rPr>
          <w:rStyle w:val="20"/>
          <w:rFonts w:hint="eastAsia" w:ascii="宋体" w:hAnsi="宋体"/>
        </w:rPr>
        <w:t>合并范围。</w:t>
      </w:r>
      <w:r>
        <w:tab/>
      </w:r>
      <w:r>
        <w:fldChar w:fldCharType="begin"/>
      </w:r>
      <w:r>
        <w:instrText xml:space="preserve"> PAGEREF _Toc60821801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0"/>
        </w:tabs>
        <w:ind w:firstLine="960"/>
        <w:rPr>
          <w:sz w:val="21"/>
          <w:szCs w:val="24"/>
        </w:rPr>
      </w:pPr>
      <w:r>
        <w:fldChar w:fldCharType="begin"/>
      </w:r>
      <w:r>
        <w:instrText xml:space="preserve">HYPERLINK \l"_Toc60821802"</w:instrText>
      </w:r>
      <w:r>
        <w:fldChar w:fldCharType="separate"/>
      </w:r>
      <w:r>
        <w:rPr>
          <w:rStyle w:val="20"/>
          <w:rFonts w:hint="default" w:ascii="宋体" w:hAnsi="宋体"/>
        </w:rPr>
        <w:t>4.</w:t>
      </w:r>
      <w:r>
        <w:rPr>
          <w:rStyle w:val="20"/>
          <w:rFonts w:hint="eastAsia" w:ascii="宋体" w:hAnsi="宋体"/>
        </w:rPr>
        <w:t>重要会计政策与会计估计变更情况。</w:t>
      </w:r>
      <w:r>
        <w:tab/>
      </w:r>
      <w:r>
        <w:fldChar w:fldCharType="begin"/>
      </w:r>
      <w:r>
        <w:instrText xml:space="preserve"> PAGEREF _Toc60821802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0"/>
        </w:tabs>
        <w:ind w:firstLine="960"/>
        <w:rPr>
          <w:sz w:val="21"/>
          <w:szCs w:val="24"/>
        </w:rPr>
      </w:pPr>
      <w:r>
        <w:fldChar w:fldCharType="begin"/>
      </w:r>
      <w:r>
        <w:instrText xml:space="preserve">HYPERLINK \l"_Toc60821803"</w:instrText>
      </w:r>
      <w:r>
        <w:fldChar w:fldCharType="separate"/>
      </w:r>
      <w:r>
        <w:rPr>
          <w:rStyle w:val="20"/>
          <w:rFonts w:hint="default" w:ascii="宋体" w:hAnsi="宋体"/>
        </w:rPr>
        <w:t>5.</w:t>
      </w:r>
      <w:r>
        <w:rPr>
          <w:rStyle w:val="20"/>
          <w:rFonts w:hint="eastAsia" w:ascii="宋体" w:hAnsi="宋体"/>
        </w:rPr>
        <w:t>会计报表重要项目的明细信息及说明</w:t>
      </w:r>
      <w:r>
        <w:tab/>
      </w:r>
      <w:r>
        <w:fldChar w:fldCharType="begin"/>
      </w:r>
      <w:r>
        <w:instrText xml:space="preserve"> PAGEREF _Toc60821803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0"/>
        </w:tabs>
        <w:ind w:firstLine="960"/>
        <w:rPr>
          <w:sz w:val="21"/>
          <w:szCs w:val="24"/>
        </w:rPr>
      </w:pPr>
      <w:r>
        <w:fldChar w:fldCharType="begin"/>
      </w:r>
      <w:r>
        <w:instrText xml:space="preserve">HYPERLINK \l"_Toc60821804"</w:instrText>
      </w:r>
      <w:r>
        <w:fldChar w:fldCharType="separate"/>
      </w:r>
      <w:r>
        <w:rPr>
          <w:rStyle w:val="20"/>
          <w:rFonts w:hint="default" w:ascii="宋体" w:hAnsi="宋体"/>
        </w:rPr>
        <w:t>6.</w:t>
      </w:r>
      <w:r>
        <w:rPr>
          <w:rStyle w:val="20"/>
          <w:rFonts w:hint="eastAsia" w:ascii="宋体" w:hAnsi="宋体"/>
        </w:rPr>
        <w:t>需要说明的其他事项。</w:t>
      </w:r>
      <w:r>
        <w:tab/>
      </w:r>
      <w:r>
        <w:fldChar w:fldCharType="begin"/>
      </w:r>
      <w:r>
        <w:instrText xml:space="preserve"> PAGEREF _Toc60821804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0"/>
        </w:tabs>
        <w:rPr>
          <w:b w:val="0"/>
          <w:sz w:val="21"/>
          <w:szCs w:val="24"/>
        </w:rPr>
      </w:pPr>
      <w:r>
        <w:fldChar w:fldCharType="begin"/>
      </w:r>
      <w:r>
        <w:instrText xml:space="preserve">HYPERLINK \l"_Toc60821805"</w:instrText>
      </w:r>
      <w:r>
        <w:fldChar w:fldCharType="separate"/>
      </w:r>
      <w:r>
        <w:rPr>
          <w:rStyle w:val="20"/>
          <w:rFonts w:hint="eastAsia" w:eastAsia="黑体"/>
        </w:rPr>
        <w:t>二、</w:t>
      </w:r>
      <w:r>
        <w:rPr>
          <w:rStyle w:val="20"/>
          <w:rFonts w:hint="default" w:eastAsia="黑体"/>
        </w:rPr>
        <w:t xml:space="preserve"> </w:t>
      </w:r>
      <w:r>
        <w:rPr>
          <w:rStyle w:val="20"/>
          <w:rFonts w:hint="eastAsia" w:eastAsia="黑体"/>
        </w:rPr>
        <w:t>政府部门财务分析</w:t>
      </w:r>
      <w:r>
        <w:tab/>
      </w:r>
      <w:r>
        <w:fldChar w:fldCharType="begin"/>
      </w:r>
      <w:r>
        <w:instrText xml:space="preserve"> PAGEREF _Toc60821805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730"/>
        </w:tabs>
        <w:ind w:firstLine="480"/>
        <w:rPr>
          <w:iCs w:val="0"/>
          <w:sz w:val="21"/>
          <w:szCs w:val="24"/>
        </w:rPr>
      </w:pPr>
      <w:r>
        <w:fldChar w:fldCharType="begin"/>
      </w:r>
      <w:r>
        <w:instrText xml:space="preserve">HYPERLINK \l"_Toc60821806"</w:instrText>
      </w:r>
      <w:r>
        <w:fldChar w:fldCharType="separate"/>
      </w:r>
      <w:r>
        <w:rPr>
          <w:rStyle w:val="20"/>
          <w:rFonts w:hint="eastAsia" w:ascii="楷体" w:hAnsi="楷体" w:eastAsia="楷体"/>
        </w:rPr>
        <w:t>（一）政府部门工作目标完成情况。</w:t>
      </w:r>
      <w:r>
        <w:tab/>
      </w:r>
      <w:r>
        <w:fldChar w:fldCharType="begin"/>
      </w:r>
      <w:r>
        <w:instrText xml:space="preserve"> PAGEREF _Toc60821806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730"/>
        </w:tabs>
        <w:ind w:firstLine="480"/>
        <w:rPr>
          <w:iCs w:val="0"/>
          <w:sz w:val="21"/>
          <w:szCs w:val="24"/>
        </w:rPr>
      </w:pPr>
      <w:r>
        <w:fldChar w:fldCharType="begin"/>
      </w:r>
      <w:r>
        <w:instrText xml:space="preserve">HYPERLINK \l"_Toc60821807"</w:instrText>
      </w:r>
      <w:r>
        <w:fldChar w:fldCharType="separate"/>
      </w:r>
      <w:r>
        <w:rPr>
          <w:rStyle w:val="20"/>
          <w:rFonts w:hint="eastAsia" w:ascii="楷体" w:hAnsi="楷体" w:eastAsia="楷体"/>
        </w:rPr>
        <w:t>（二）政府部门财务状况分析。</w:t>
      </w:r>
      <w:r>
        <w:tab/>
      </w:r>
      <w:r>
        <w:fldChar w:fldCharType="begin"/>
      </w:r>
      <w:r>
        <w:instrText xml:space="preserve"> PAGEREF _Toc60821807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730"/>
        </w:tabs>
        <w:ind w:firstLine="480"/>
        <w:rPr>
          <w:iCs w:val="0"/>
          <w:sz w:val="21"/>
          <w:szCs w:val="24"/>
        </w:rPr>
      </w:pPr>
      <w:r>
        <w:fldChar w:fldCharType="begin"/>
      </w:r>
      <w:r>
        <w:instrText xml:space="preserve">HYPERLINK \l"_Toc60821808"</w:instrText>
      </w:r>
      <w:r>
        <w:fldChar w:fldCharType="separate"/>
      </w:r>
      <w:r>
        <w:rPr>
          <w:rStyle w:val="20"/>
          <w:rFonts w:hint="eastAsia" w:ascii="楷体" w:hAnsi="楷体" w:eastAsia="楷体"/>
        </w:rPr>
        <w:t>（三）政府部门运行情况分析。</w:t>
      </w:r>
      <w:r>
        <w:tab/>
      </w:r>
      <w:r>
        <w:fldChar w:fldCharType="begin"/>
      </w:r>
      <w:r>
        <w:instrText xml:space="preserve"> PAGEREF _Toc60821808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730"/>
        </w:tabs>
        <w:ind w:firstLine="480"/>
        <w:rPr>
          <w:iCs w:val="0"/>
          <w:sz w:val="21"/>
          <w:szCs w:val="24"/>
        </w:rPr>
      </w:pPr>
      <w:r>
        <w:fldChar w:fldCharType="begin"/>
      </w:r>
      <w:r>
        <w:instrText xml:space="preserve">HYPERLINK \l"_Toc60821809"</w:instrText>
      </w:r>
      <w:r>
        <w:fldChar w:fldCharType="separate"/>
      </w:r>
      <w:r>
        <w:rPr>
          <w:rStyle w:val="20"/>
          <w:rFonts w:hint="eastAsia" w:ascii="楷体" w:hAnsi="楷体" w:eastAsia="楷体"/>
        </w:rPr>
        <w:t>（四）政府部门财务管理情况。</w:t>
      </w:r>
      <w:r>
        <w:tab/>
      </w:r>
      <w:r>
        <w:fldChar w:fldCharType="begin"/>
      </w:r>
      <w:r>
        <w:instrText xml:space="preserve"> PAGEREF _Toc60821809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adjustRightInd w:val="0"/>
        <w:snapToGrid w:val="0"/>
        <w:jc w:val="center"/>
        <w:rPr>
          <w:rFonts w:hint="default" w:ascii="宋体" w:hAnsi="宋体"/>
          <w:b/>
          <w:sz w:val="32"/>
          <w:szCs w:val="32"/>
        </w:rPr>
      </w:pPr>
      <w:r>
        <w:rPr>
          <w:rFonts w:hint="default" w:ascii="宋体" w:hAnsi="宋体"/>
          <w:b/>
          <w:sz w:val="32"/>
          <w:szCs w:val="32"/>
        </w:rPr>
        <w:fldChar w:fldCharType="end"/>
      </w:r>
    </w:p>
    <w:p>
      <w:pPr>
        <w:adjustRightInd w:val="0"/>
        <w:snapToGrid w:val="0"/>
        <w:rPr>
          <w:rFonts w:hint="default" w:ascii="宋体" w:hAnsi="宋体"/>
          <w:b/>
          <w:sz w:val="32"/>
          <w:szCs w:val="32"/>
        </w:rPr>
        <w:sectPr>
          <w:headerReference r:id="rId4" w:type="first"/>
          <w:footerReference r:id="rId5" w:type="default"/>
          <w:pgSz w:w="11906" w:h="16838"/>
          <w:pgMar w:top="1440" w:right="1083" w:bottom="1440" w:left="1083" w:header="0" w:footer="720" w:gutter="0"/>
          <w:pgNumType w:start="0"/>
          <w:cols w:space="425" w:num="1"/>
          <w:titlePg/>
          <w:docGrid w:type="lines" w:linePitch="312" w:charSpace="0"/>
        </w:sectPr>
      </w:pPr>
    </w:p>
    <w:p>
      <w:pPr>
        <w:pStyle w:val="2"/>
        <w:adjustRightInd w:val="0"/>
        <w:snapToGrid w:val="0"/>
        <w:spacing w:before="0" w:after="0" w:line="360" w:lineRule="auto"/>
        <w:rPr>
          <w:rFonts w:hint="default" w:eastAsia="黑体"/>
          <w:sz w:val="32"/>
          <w:szCs w:val="32"/>
        </w:rPr>
      </w:pPr>
      <w:bookmarkStart w:id="0" w:name="_Toc60821188"/>
      <w:bookmarkStart w:id="1" w:name="_Toc60821239"/>
      <w:bookmarkStart w:id="2" w:name="_Toc60821793"/>
      <w:r>
        <w:rPr>
          <w:rFonts w:hint="eastAsia" w:eastAsia="黑体"/>
          <w:sz w:val="32"/>
          <w:szCs w:val="32"/>
        </w:rPr>
        <w:t>一、政府部门财务报表</w:t>
      </w:r>
      <w:bookmarkEnd w:id="0"/>
      <w:bookmarkEnd w:id="1"/>
      <w:bookmarkEnd w:id="2"/>
    </w:p>
    <w:p>
      <w:pPr>
        <w:pStyle w:val="3"/>
        <w:adjustRightInd w:val="0"/>
        <w:snapToGrid w:val="0"/>
        <w:spacing w:before="0" w:after="0" w:line="360" w:lineRule="auto"/>
        <w:rPr>
          <w:rFonts w:hint="default" w:ascii="楷体" w:hAnsi="楷体" w:eastAsia="楷体"/>
          <w:sz w:val="30"/>
          <w:szCs w:val="30"/>
        </w:rPr>
      </w:pPr>
      <w:bookmarkStart w:id="3" w:name="_Toc60821189"/>
      <w:bookmarkStart w:id="4" w:name="_Toc60821240"/>
      <w:bookmarkStart w:id="5" w:name="_Toc60821794"/>
      <w:r>
        <w:rPr>
          <w:rFonts w:hint="eastAsia" w:ascii="楷体" w:hAnsi="楷体" w:eastAsia="楷体"/>
          <w:sz w:val="30"/>
          <w:szCs w:val="30"/>
        </w:rPr>
        <w:t>（一）政府部门会计报表</w:t>
      </w:r>
      <w:bookmarkEnd w:id="3"/>
      <w:bookmarkEnd w:id="4"/>
      <w:bookmarkEnd w:id="5"/>
    </w:p>
    <w:p>
      <w:pPr>
        <w:adjustRightInd w:val="0"/>
        <w:snapToGrid w:val="0"/>
        <w:spacing w:line="360" w:lineRule="auto"/>
        <w:rPr>
          <w:rFonts w:hint="default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表 1</w:t>
      </w:r>
    </w:p>
    <w:p>
      <w:pPr>
        <w:pStyle w:val="4"/>
        <w:adjustRightInd w:val="0"/>
        <w:snapToGrid w:val="0"/>
        <w:spacing w:before="0" w:after="0" w:line="360" w:lineRule="auto"/>
        <w:jc w:val="center"/>
        <w:rPr>
          <w:sz w:val="24"/>
          <w:szCs w:val="24"/>
        </w:rPr>
      </w:pPr>
      <w:bookmarkStart w:id="6" w:name="_Toc60821190"/>
      <w:bookmarkStart w:id="7" w:name="_Toc60821241"/>
      <w:bookmarkStart w:id="8" w:name="_Toc60821795"/>
      <w:r>
        <w:rPr>
          <w:rFonts w:hint="eastAsia"/>
          <w:sz w:val="24"/>
          <w:szCs w:val="24"/>
        </w:rPr>
        <w:t>资产负债表</w:t>
      </w:r>
      <w:bookmarkEnd w:id="6"/>
      <w:bookmarkEnd w:id="7"/>
      <w:bookmarkEnd w:id="8"/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1195"/>
        <w:gridCol w:w="2489"/>
        <w:gridCol w:w="2489"/>
      </w:tblGrid>
      <w:tr>
        <w:trPr>
          <w:trHeight w:val="390" w:hRule="exact"/>
          <w:tblHeader/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编制单位：庄河市大营镇人民政府（本级）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2020年12月31日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tblHeader/>
          <w:jc w:val="center"/>
        </w:trPr>
        <w:tc>
          <w:tcPr>
            <w:tcW w:w="19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项目</w:t>
            </w:r>
          </w:p>
        </w:tc>
        <w:tc>
          <w:tcPr>
            <w:tcW w:w="6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附注</w:t>
            </w:r>
          </w:p>
        </w:tc>
        <w:tc>
          <w:tcPr>
            <w:tcW w:w="12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年末数</w:t>
            </w:r>
          </w:p>
        </w:tc>
        <w:tc>
          <w:tcPr>
            <w:tcW w:w="12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流动资产：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货币资金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759.95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940.89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短期投资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财政应返还额度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应收票据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应收账款净额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预付账款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应收股利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应收利息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其他应收款净额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303.09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290.35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存货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待摊费用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一年内到期的非流动资产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其他流动资产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流动资产合计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1,063.04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1,231.24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非流动资产：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长期股权投资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长期债券投资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固定资产原值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568.33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533.24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 xml:space="preserve">  减：固定资产累计折旧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268.50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36.69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固定资产净值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299.84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496.55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工程物资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在建工程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7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无形资产原价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 xml:space="preserve">  减：无形资产累计摊销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无形资产净值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研发支出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Chars="0"/>
        <w:jc w:val="left"/>
        <w:rPr>
          <w:rFonts w:hint="eastAsia" w:ascii="宋体" w:hAnsi="宋体" w:eastAsia="宋体"/>
          <w:color w:val="000024"/>
          <w:sz w:val="24"/>
          <w:szCs w:val="24"/>
        </w:rPr>
        <w:sectPr>
          <w:pgSz w:w="11906" w:h="16838"/>
          <w:pgMar w:top="1440" w:right="1083" w:bottom="1440" w:left="1083" w:header="0" w:footer="720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Chars="0"/>
        <w:jc w:val="left"/>
        <w:rPr>
          <w:rFonts w:hint="eastAsia" w:ascii="宋体" w:hAnsi="宋体" w:eastAsia="宋体"/>
          <w:color w:val="000022"/>
          <w:sz w:val="22"/>
          <w:szCs w:val="22"/>
        </w:rPr>
      </w:pPr>
      <w:r>
        <w:rPr>
          <w:rFonts w:hint="eastAsia" w:ascii="宋体" w:hAnsi="宋体" w:eastAsia="宋体"/>
          <w:color w:val="000022"/>
          <w:sz w:val="22"/>
          <w:szCs w:val="22"/>
        </w:rPr>
        <w:t>表 1-续表</w:t>
      </w:r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2"/>
        <w:gridCol w:w="1195"/>
        <w:gridCol w:w="2389"/>
        <w:gridCol w:w="2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  <w:t>资产负债表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tblHeader/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编制单位：庄河市大营镇人民政府（本级）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2020年12月31日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tblHeader/>
          <w:jc w:val="center"/>
        </w:trPr>
        <w:tc>
          <w:tcPr>
            <w:tcW w:w="20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项目</w:t>
            </w:r>
          </w:p>
        </w:tc>
        <w:tc>
          <w:tcPr>
            <w:tcW w:w="6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附注</w:t>
            </w:r>
          </w:p>
        </w:tc>
        <w:tc>
          <w:tcPr>
            <w:tcW w:w="12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年末数</w:t>
            </w:r>
          </w:p>
        </w:tc>
        <w:tc>
          <w:tcPr>
            <w:tcW w:w="12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公共基础设施原值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 xml:space="preserve">  减：公共基础设施累计折旧（摊销）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公共基础设施净值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9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政府储备物资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10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文物文化资产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保障性住房原值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 xml:space="preserve">  减：保障性住房累计折旧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保障性住房净值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11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长期待摊费用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待处理财产损溢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其他非流动资产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非流动资产合计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299.84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496.55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受托代理资产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资产总计</w:t>
            </w: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1,362.88</w:t>
            </w:r>
          </w:p>
        </w:tc>
        <w:tc>
          <w:tcPr>
            <w:tcW w:w="120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1,727.79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流动负债：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短期借款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应交增值税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其他应交税费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0.05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应缴财政款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应付职工薪酬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0.84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0.84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应付票据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应付账款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12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应付政府补贴款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应付利息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预收账款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13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其他应付款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1,061.18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1,233.28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预提费用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一年内到期的非流动负债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其他流动负债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0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流动负债合计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1,062.07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1,234.14</w:t>
            </w:r>
          </w:p>
        </w:tc>
      </w:tr>
    </w:tbl>
    <w:p>
      <w:pPr>
        <w:spacing w:line="360" w:lineRule="auto"/>
        <w:ind w:firstLineChars="0"/>
        <w:jc w:val="left"/>
        <w:rPr>
          <w:rFonts w:hint="eastAsia" w:ascii="宋体" w:hAnsi="宋体" w:eastAsia="宋体"/>
          <w:color w:val="000024"/>
          <w:sz w:val="24"/>
          <w:szCs w:val="24"/>
        </w:rPr>
        <w:sectPr>
          <w:pgSz w:w="11906" w:h="16838"/>
          <w:pgMar w:top="1440" w:right="1083" w:bottom="1440" w:left="1083" w:header="0" w:footer="720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Chars="0"/>
        <w:jc w:val="left"/>
        <w:rPr>
          <w:rFonts w:hint="eastAsia" w:ascii="宋体" w:hAnsi="宋体" w:eastAsia="宋体"/>
          <w:color w:val="000022"/>
          <w:sz w:val="22"/>
          <w:szCs w:val="22"/>
        </w:rPr>
      </w:pPr>
      <w:r>
        <w:rPr>
          <w:rFonts w:hint="eastAsia" w:ascii="宋体" w:hAnsi="宋体" w:eastAsia="宋体"/>
          <w:color w:val="000022"/>
          <w:sz w:val="22"/>
          <w:szCs w:val="22"/>
        </w:rPr>
        <w:t>表 1-续表</w:t>
      </w:r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1195"/>
        <w:gridCol w:w="2489"/>
        <w:gridCol w:w="2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  <w:t>资产负债表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tblHeader/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编制单位：庄河市大营镇人民政府（本级）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2020年12月31日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tblHeader/>
          <w:jc w:val="center"/>
        </w:trPr>
        <w:tc>
          <w:tcPr>
            <w:tcW w:w="19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项目</w:t>
            </w:r>
          </w:p>
        </w:tc>
        <w:tc>
          <w:tcPr>
            <w:tcW w:w="6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附注</w:t>
            </w:r>
          </w:p>
        </w:tc>
        <w:tc>
          <w:tcPr>
            <w:tcW w:w="12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年末数</w:t>
            </w:r>
          </w:p>
        </w:tc>
        <w:tc>
          <w:tcPr>
            <w:tcW w:w="12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非流动负债：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长期借款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长期应付款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预计负债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其他非流动负债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非流动负债合计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受托代理负债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负债合计</w:t>
            </w: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1,062.07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1,234.14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净资产: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累计盈余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300.81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493.65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专用基金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权益法调整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净资产合计</w:t>
            </w: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300.81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493.65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负债及净资产合计</w:t>
            </w: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1,362.88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1,727.79</w:t>
            </w:r>
          </w:p>
        </w:tc>
      </w:tr>
    </w:tbl>
    <w:p>
      <w:pPr>
        <w:spacing w:line="360" w:lineRule="auto"/>
        <w:rPr>
          <w:rFonts w:hint="default" w:ascii="宋体" w:hAnsi="宋体"/>
          <w:sz w:val="22"/>
          <w:szCs w:val="32"/>
        </w:rPr>
        <w:sectPr>
          <w:headerReference r:id="rId6" w:type="default"/>
          <w:pgSz w:w="11906" w:h="16838"/>
          <w:pgMar w:top="1440" w:right="1083" w:bottom="1440" w:left="1083" w:header="0" w:footer="720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default" w:ascii="宋体" w:hAnsi="宋体"/>
          <w:sz w:val="22"/>
          <w:szCs w:val="32"/>
        </w:rPr>
      </w:pPr>
      <w:r>
        <w:rPr>
          <w:rFonts w:hint="eastAsia" w:ascii="宋体" w:hAnsi="宋体"/>
          <w:sz w:val="22"/>
          <w:szCs w:val="32"/>
        </w:rPr>
        <w:t>表 2-1</w:t>
      </w:r>
    </w:p>
    <w:p>
      <w:pPr>
        <w:pStyle w:val="4"/>
        <w:spacing w:before="0" w:after="0" w:line="360" w:lineRule="auto"/>
        <w:jc w:val="center"/>
        <w:rPr>
          <w:sz w:val="24"/>
        </w:rPr>
      </w:pPr>
      <w:bookmarkStart w:id="9" w:name="_Toc60821191"/>
      <w:bookmarkStart w:id="10" w:name="_Toc60821242"/>
      <w:bookmarkStart w:id="11" w:name="_Toc60821796"/>
      <w:r>
        <w:rPr>
          <w:rFonts w:hint="eastAsia"/>
          <w:sz w:val="24"/>
        </w:rPr>
        <w:t>收入费用表（1）</w:t>
      </w:r>
      <w:bookmarkEnd w:id="9"/>
      <w:bookmarkEnd w:id="10"/>
      <w:bookmarkEnd w:id="11"/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1195"/>
        <w:gridCol w:w="2489"/>
        <w:gridCol w:w="2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tblHeader/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编制单位：庄河市大营镇人民政府（本级）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2020年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tblHeader/>
          <w:jc w:val="center"/>
        </w:trPr>
        <w:tc>
          <w:tcPr>
            <w:tcW w:w="19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项目</w:t>
            </w:r>
          </w:p>
        </w:tc>
        <w:tc>
          <w:tcPr>
            <w:tcW w:w="6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附注</w:t>
            </w:r>
          </w:p>
        </w:tc>
        <w:tc>
          <w:tcPr>
            <w:tcW w:w="12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本年数</w:t>
            </w:r>
          </w:p>
        </w:tc>
        <w:tc>
          <w:tcPr>
            <w:tcW w:w="12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上年数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财政拨款收入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3,587.83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3,946.09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事业收入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17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上级补助收入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附属单位上缴收入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经营收入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非同级财政拨款收入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19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投资收益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捐赠收入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利息收入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3.36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租金收入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20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收入合计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3,591.19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3,950.32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业务活动费用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21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3,593.38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3,895.13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单位管理费用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22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经营费用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23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资产处置费用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上缴上级费用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对附属单位补助费用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所得税费用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费用合计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3,593.38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3,968.15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本年盈余</w:t>
            </w: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-2.19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-17.83</w:t>
            </w:r>
          </w:p>
        </w:tc>
      </w:tr>
    </w:tbl>
    <w:p>
      <w:pPr>
        <w:spacing w:line="360" w:lineRule="auto"/>
        <w:rPr>
          <w:rFonts w:hint="default" w:ascii="宋体" w:hAnsi="宋体"/>
          <w:sz w:val="22"/>
          <w:szCs w:val="32"/>
        </w:rPr>
        <w:sectPr>
          <w:headerReference r:id="rId7" w:type="default"/>
          <w:footerReference r:id="rId8" w:type="default"/>
          <w:pgSz w:w="11906" w:h="16838"/>
          <w:pgMar w:top="1440" w:right="1083" w:bottom="1440" w:left="1083" w:header="0" w:footer="720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default" w:ascii="宋体" w:hAnsi="宋体"/>
          <w:sz w:val="22"/>
          <w:szCs w:val="32"/>
        </w:rPr>
      </w:pPr>
      <w:r>
        <w:rPr>
          <w:rFonts w:hint="eastAsia" w:ascii="宋体" w:hAnsi="宋体"/>
          <w:sz w:val="22"/>
          <w:szCs w:val="32"/>
        </w:rPr>
        <w:t>表 2-2</w:t>
      </w:r>
    </w:p>
    <w:p>
      <w:pPr>
        <w:pStyle w:val="4"/>
        <w:spacing w:before="0" w:after="0" w:line="360" w:lineRule="auto"/>
        <w:jc w:val="center"/>
        <w:rPr>
          <w:sz w:val="24"/>
        </w:rPr>
      </w:pPr>
      <w:bookmarkStart w:id="12" w:name="_Toc60821027"/>
      <w:bookmarkStart w:id="13" w:name="_Toc60821192"/>
      <w:bookmarkStart w:id="14" w:name="_Toc60821243"/>
      <w:bookmarkStart w:id="15" w:name="_Toc60821797"/>
      <w:r>
        <w:rPr>
          <w:rFonts w:hint="eastAsia"/>
          <w:sz w:val="24"/>
        </w:rPr>
        <w:t>收入费用表（2）</w:t>
      </w:r>
      <w:bookmarkEnd w:id="12"/>
      <w:bookmarkEnd w:id="13"/>
      <w:bookmarkEnd w:id="14"/>
      <w:bookmarkEnd w:id="15"/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1195"/>
        <w:gridCol w:w="2489"/>
        <w:gridCol w:w="2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tblHeader/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编制单位：庄河市大营镇人民政府（本级）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2020年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tblHeader/>
          <w:jc w:val="center"/>
        </w:trPr>
        <w:tc>
          <w:tcPr>
            <w:tcW w:w="19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项目</w:t>
            </w:r>
          </w:p>
        </w:tc>
        <w:tc>
          <w:tcPr>
            <w:tcW w:w="6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附注</w:t>
            </w:r>
          </w:p>
        </w:tc>
        <w:tc>
          <w:tcPr>
            <w:tcW w:w="12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本年数</w:t>
            </w:r>
          </w:p>
        </w:tc>
        <w:tc>
          <w:tcPr>
            <w:tcW w:w="12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上年数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财政拨款收入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3,587.83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3,946.09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事业收入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17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上级补助收入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附属单位上缴收入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经营收入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非同级财政拨款收入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19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投资收益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捐赠收入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利息收入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3.36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租金收入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其他收入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20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收入合计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3,591.19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3,950.32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工资和福利费用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1,245.40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888.06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商品和服务费用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24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431.98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268.66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对个人和家庭的补助费用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331.01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506.41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对企业补助费用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1,037.19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1,547.61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固定资产折旧费用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41.16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36.69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无形资产摊销费用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公共基础设施折旧（摊销）费用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保障性住房折旧费用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计提专用基金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资产处置费用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上缴上级费用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对附属单位补助费用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所得税费用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10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其他费用</w:t>
            </w:r>
            <w:r>
              <w:rPr>
                <w:rFonts w:hint="eastAsia" w:ascii="宋体" w:hAnsi="宋体" w:eastAsia="宋体"/>
                <w:color w:val="000021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506.64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720.72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费用合计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3,593.38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3,968.15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本年盈余</w:t>
            </w: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-2.19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-17.83</w:t>
            </w:r>
          </w:p>
        </w:tc>
      </w:tr>
    </w:tbl>
    <w:p>
      <w:pPr>
        <w:spacing w:line="360" w:lineRule="auto"/>
        <w:ind w:firstLineChars="0"/>
        <w:jc w:val="left"/>
        <w:rPr>
          <w:rFonts w:hint="eastAsia" w:ascii="宋体" w:hAnsi="宋体" w:eastAsia="宋体"/>
          <w:color w:val="000022"/>
          <w:sz w:val="22"/>
          <w:szCs w:val="22"/>
        </w:rPr>
      </w:pPr>
      <w:r>
        <w:rPr>
          <w:rFonts w:hint="eastAsia" w:ascii="宋体" w:hAnsi="宋体" w:eastAsia="宋体"/>
          <w:color w:val="000021"/>
          <w:sz w:val="21"/>
          <w:szCs w:val="21"/>
          <w:vertAlign w:val="superscript"/>
        </w:rPr>
        <w:t xml:space="preserve">1 </w:t>
      </w:r>
      <w:r>
        <w:rPr>
          <w:rFonts w:hint="eastAsia" w:ascii="宋体" w:hAnsi="宋体" w:eastAsia="宋体"/>
          <w:color w:val="000022"/>
          <w:sz w:val="22"/>
          <w:szCs w:val="22"/>
        </w:rPr>
        <w:t>表 2-2 的“其他费用”包括“业务活动费用”“单位管理费用”“经营费用”等会计科目中的其他部 分。</w:t>
      </w:r>
    </w:p>
    <w:p>
      <w:pPr>
        <w:sectPr>
          <w:headerReference r:id="rId9" w:type="default"/>
          <w:footerReference r:id="rId10" w:type="default"/>
          <w:pgSz w:w="11906" w:h="16838"/>
          <w:pgMar w:top="1440" w:right="1083" w:bottom="1440" w:left="1083" w:header="0" w:footer="720" w:gutter="0"/>
          <w:cols w:space="425" w:num="1"/>
          <w:docGrid w:linePitch="312" w:charSpace="0"/>
        </w:sectPr>
      </w:pPr>
    </w:p>
    <w:p>
      <w:pPr>
        <w:pStyle w:val="3"/>
        <w:spacing w:before="0" w:after="0" w:line="360" w:lineRule="auto"/>
        <w:rPr>
          <w:rFonts w:hint="default" w:ascii="楷体" w:hAnsi="楷体" w:eastAsia="楷体"/>
          <w:sz w:val="30"/>
        </w:rPr>
      </w:pPr>
      <w:bookmarkStart w:id="16" w:name="_Toc60821193"/>
      <w:bookmarkStart w:id="17" w:name="_Toc60821244"/>
      <w:bookmarkStart w:id="18" w:name="_Toc60821798"/>
      <w:r>
        <w:rPr>
          <w:rFonts w:hint="eastAsia" w:ascii="楷体" w:hAnsi="楷体" w:eastAsia="楷体"/>
          <w:sz w:val="30"/>
        </w:rPr>
        <w:t>（二）政府部门会计报表附注</w:t>
      </w:r>
      <w:bookmarkEnd w:id="16"/>
      <w:bookmarkEnd w:id="17"/>
      <w:bookmarkEnd w:id="18"/>
    </w:p>
    <w:p>
      <w:pPr>
        <w:pStyle w:val="4"/>
        <w:adjustRightInd w:val="0"/>
        <w:snapToGrid w:val="0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19" w:name="_Toc60821194"/>
      <w:bookmarkStart w:id="20" w:name="_Toc60821245"/>
      <w:bookmarkStart w:id="21" w:name="_Toc60821799"/>
      <w:r>
        <w:rPr>
          <w:rFonts w:hint="eastAsia" w:ascii="宋体" w:hAnsi="宋体"/>
          <w:sz w:val="24"/>
          <w:szCs w:val="24"/>
        </w:rPr>
        <w:t>1.会计报表编制基础。</w:t>
      </w:r>
      <w:bookmarkEnd w:id="19"/>
      <w:bookmarkEnd w:id="20"/>
      <w:bookmarkEnd w:id="21"/>
    </w:p>
    <w:p>
      <w:pPr>
        <w:pStyle w:val="5"/>
        <w:ind w:firstLine="600"/>
        <w:rPr>
          <w:rFonts w:hint="default" w:ascii="Times New Roman"/>
          <w:b w:val="0"/>
        </w:rPr>
      </w:pPr>
      <w:r>
        <w:rPr>
          <w:rFonts w:hint="eastAsia" w:ascii="仿宋" w:hAnsi="仿宋" w:eastAsia="仿宋"/>
          <w:b w:val="0"/>
          <w:szCs w:val="30"/>
        </w:rPr>
        <w:t>政府部门会计报表以权责发生制为基础编制。</w:t>
      </w:r>
    </w:p>
    <w:p/>
    <w:p>
      <w:pPr>
        <w:pStyle w:val="4"/>
        <w:numPr>
          <w:ilvl w:val="0"/>
          <w:numId w:val="1"/>
        </w:numPr>
        <w:tabs>
          <w:tab w:val="clear" w:pos="312"/>
        </w:tabs>
        <w:spacing w:before="0" w:after="0" w:line="360" w:lineRule="auto"/>
        <w:rPr>
          <w:rFonts w:hint="eastAsia" w:ascii="宋体" w:hAnsi="宋体"/>
          <w:sz w:val="24"/>
        </w:rPr>
      </w:pPr>
      <w:bookmarkStart w:id="22" w:name="_Toc60821195"/>
      <w:bookmarkStart w:id="23" w:name="_Toc60821246"/>
      <w:bookmarkStart w:id="24" w:name="_Toc60821800"/>
      <w:r>
        <w:rPr>
          <w:rFonts w:hint="eastAsia" w:ascii="宋体" w:hAnsi="宋体"/>
          <w:sz w:val="24"/>
        </w:rPr>
        <w:t>遵循相关制度规定的声明。</w:t>
      </w:r>
      <w:bookmarkEnd w:id="22"/>
      <w:bookmarkEnd w:id="23"/>
      <w:bookmarkEnd w:id="24"/>
    </w:p>
    <w:p>
      <w:pPr>
        <w:pStyle w:val="5"/>
        <w:ind w:firstLine="600"/>
        <w:rPr>
          <w:rFonts w:hint="eastAsia" w:ascii="仿宋" w:hAnsi="仿宋" w:eastAsia="仿宋"/>
          <w:b w:val="0"/>
          <w:szCs w:val="30"/>
        </w:rPr>
      </w:pPr>
      <w:r>
        <w:rPr>
          <w:rFonts w:hint="default" w:ascii="仿宋" w:hAnsi="仿宋" w:eastAsia="仿宋"/>
          <w:b w:val="0"/>
          <w:szCs w:val="30"/>
        </w:rPr>
        <w:t xml:space="preserve">声明编制的会计报表符合政府会计准则、相关会计制度和财务报告编制规定的要求，如实反映政府部门的财务状况、运行情况等有关信息。 </w:t>
      </w:r>
    </w:p>
    <w:p>
      <w:pPr/>
    </w:p>
    <w:p>
      <w:pPr>
        <w:pStyle w:val="4"/>
        <w:numPr>
          <w:ilvl w:val="0"/>
          <w:numId w:val="1"/>
        </w:numPr>
        <w:tabs>
          <w:tab w:val="clear" w:pos="312"/>
        </w:tabs>
        <w:spacing w:before="0" w:after="0" w:line="360" w:lineRule="auto"/>
        <w:ind w:left="0" w:leftChars="0" w:firstLine="0" w:firstLineChars="0"/>
        <w:rPr>
          <w:rFonts w:hint="eastAsia" w:ascii="宋体" w:hAnsi="宋体"/>
          <w:sz w:val="24"/>
        </w:rPr>
      </w:pPr>
      <w:bookmarkStart w:id="25" w:name="_Toc60821196"/>
      <w:bookmarkStart w:id="26" w:name="_Toc60821247"/>
      <w:bookmarkStart w:id="27" w:name="_Toc60821801"/>
      <w:r>
        <w:rPr>
          <w:rFonts w:hint="eastAsia" w:ascii="宋体" w:hAnsi="宋体"/>
          <w:sz w:val="24"/>
        </w:rPr>
        <w:t>合并范围。</w:t>
      </w:r>
      <w:bookmarkEnd w:id="25"/>
      <w:bookmarkEnd w:id="26"/>
      <w:bookmarkEnd w:id="27"/>
    </w:p>
    <w:p>
      <w:pPr>
        <w:ind w:firstLine="450" w:firstLineChars="150"/>
        <w:rPr>
          <w:rFonts w:hint="default"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会计报表仅包含庄河市大营镇人民政府本级，为行政单位，实有人数19人。</w:t>
      </w:r>
    </w:p>
    <w:p>
      <w:pPr>
        <w:ind w:leftChars="0"/>
      </w:pPr>
    </w:p>
    <w:p>
      <w:pPr>
        <w:pStyle w:val="4"/>
        <w:numPr>
          <w:ilvl w:val="0"/>
          <w:numId w:val="1"/>
        </w:numPr>
        <w:tabs>
          <w:tab w:val="clear" w:pos="312"/>
        </w:tabs>
        <w:spacing w:before="0" w:after="0" w:line="360" w:lineRule="auto"/>
        <w:ind w:left="0" w:leftChars="0" w:firstLine="0" w:firstLineChars="0"/>
        <w:rPr>
          <w:rFonts w:hint="eastAsia" w:ascii="宋体" w:hAnsi="宋体"/>
          <w:sz w:val="24"/>
        </w:rPr>
      </w:pPr>
      <w:bookmarkStart w:id="28" w:name="_Toc60821197"/>
      <w:bookmarkStart w:id="29" w:name="_Toc60821248"/>
      <w:bookmarkStart w:id="30" w:name="_Toc60821802"/>
      <w:r>
        <w:rPr>
          <w:rFonts w:hint="eastAsia" w:ascii="宋体" w:hAnsi="宋体"/>
          <w:sz w:val="24"/>
        </w:rPr>
        <w:t>重要会计政策与会计估计变更情况。</w:t>
      </w:r>
      <w:bookmarkEnd w:id="28"/>
      <w:bookmarkEnd w:id="29"/>
      <w:bookmarkEnd w:id="30"/>
    </w:p>
    <w:p>
      <w:pPr>
        <w:pStyle w:val="22"/>
        <w:spacing w:line="360" w:lineRule="auto"/>
        <w:ind w:firstLine="643"/>
        <w:rPr>
          <w:rFonts w:hint="default" w:ascii="仿宋_GB2312"/>
          <w:b/>
          <w:sz w:val="32"/>
        </w:rPr>
      </w:pPr>
      <w:r>
        <w:rPr>
          <w:rFonts w:hint="eastAsia" w:ascii="仿宋_GB2312"/>
          <w:b/>
          <w:sz w:val="32"/>
        </w:rPr>
        <w:t>（</w:t>
      </w:r>
      <w:r>
        <w:rPr>
          <w:b/>
          <w:sz w:val="32"/>
        </w:rPr>
        <w:t>1</w:t>
      </w:r>
      <w:r>
        <w:rPr>
          <w:rFonts w:hint="eastAsia" w:ascii="仿宋_GB2312"/>
          <w:b/>
          <w:sz w:val="32"/>
        </w:rPr>
        <w:t>）会计期间。</w:t>
      </w:r>
    </w:p>
    <w:p>
      <w:pPr>
        <w:pStyle w:val="22"/>
        <w:spacing w:line="360" w:lineRule="auto"/>
        <w:ind w:firstLine="640"/>
        <w:rPr>
          <w:rFonts w:hint="eastAsia" w:ascii="仿宋_GB2312"/>
          <w:sz w:val="32"/>
        </w:rPr>
      </w:pPr>
      <w:r>
        <w:rPr>
          <w:rFonts w:hint="eastAsia" w:ascii="仿宋_GB2312"/>
          <w:sz w:val="32"/>
        </w:rPr>
        <w:t>20</w:t>
      </w:r>
      <w:r>
        <w:rPr>
          <w:rFonts w:hint="eastAsia" w:ascii="仿宋_GB2312"/>
          <w:sz w:val="32"/>
          <w:lang w:val="en-US" w:eastAsia="zh-CN"/>
        </w:rPr>
        <w:t>20</w:t>
      </w:r>
      <w:r>
        <w:rPr>
          <w:rFonts w:hint="eastAsia" w:ascii="仿宋_GB2312"/>
          <w:sz w:val="32"/>
        </w:rPr>
        <w:t>年1月1日-20</w:t>
      </w:r>
      <w:r>
        <w:rPr>
          <w:rFonts w:hint="eastAsia" w:ascii="仿宋_GB2312"/>
          <w:sz w:val="32"/>
          <w:lang w:val="en-US" w:eastAsia="zh-CN"/>
        </w:rPr>
        <w:t>20</w:t>
      </w:r>
      <w:r>
        <w:rPr>
          <w:rFonts w:hint="eastAsia" w:ascii="仿宋_GB2312"/>
          <w:sz w:val="32"/>
        </w:rPr>
        <w:t>年12月31日。</w:t>
      </w:r>
    </w:p>
    <w:p>
      <w:pPr>
        <w:pStyle w:val="22"/>
        <w:spacing w:line="360" w:lineRule="auto"/>
        <w:ind w:firstLine="643"/>
        <w:rPr>
          <w:rFonts w:hint="eastAsia" w:ascii="仿宋_GB2312"/>
          <w:b/>
          <w:sz w:val="32"/>
        </w:rPr>
      </w:pPr>
      <w:r>
        <w:rPr>
          <w:rFonts w:hint="eastAsia" w:ascii="仿宋_GB2312"/>
          <w:b/>
          <w:sz w:val="32"/>
        </w:rPr>
        <w:t>（</w:t>
      </w:r>
      <w:r>
        <w:rPr>
          <w:b/>
          <w:sz w:val="32"/>
        </w:rPr>
        <w:t>2</w:t>
      </w:r>
      <w:r>
        <w:rPr>
          <w:rFonts w:hint="eastAsia" w:ascii="仿宋_GB2312"/>
          <w:b/>
          <w:sz w:val="32"/>
        </w:rPr>
        <w:t>）</w:t>
      </w:r>
      <w:r>
        <w:rPr>
          <w:rFonts w:hint="default" w:ascii="仿宋_GB2312"/>
          <w:b/>
          <w:sz w:val="32"/>
        </w:rPr>
        <w:t>会计政策与会计估计变更情况</w:t>
      </w:r>
      <w:r>
        <w:rPr>
          <w:rFonts w:hint="eastAsia" w:ascii="仿宋_GB2312"/>
          <w:b/>
          <w:sz w:val="32"/>
        </w:rPr>
        <w:t>。</w:t>
      </w:r>
    </w:p>
    <w:p>
      <w:pPr>
        <w:pStyle w:val="22"/>
        <w:spacing w:line="360" w:lineRule="auto"/>
        <w:ind w:firstLine="640"/>
        <w:rPr>
          <w:rFonts w:hint="eastAsia" w:ascii="仿宋_GB2312"/>
          <w:sz w:val="32"/>
        </w:rPr>
      </w:pPr>
      <w:r>
        <w:rPr>
          <w:rFonts w:hint="eastAsia" w:ascii="仿宋_GB2312"/>
          <w:sz w:val="32"/>
        </w:rPr>
        <w:t>无。</w:t>
      </w:r>
    </w:p>
    <w:p>
      <w:pPr>
        <w:pStyle w:val="22"/>
        <w:spacing w:line="360" w:lineRule="auto"/>
        <w:ind w:firstLine="643"/>
        <w:rPr>
          <w:rFonts w:hint="default" w:ascii="仿宋_GB2312"/>
          <w:b/>
          <w:sz w:val="32"/>
        </w:rPr>
      </w:pPr>
    </w:p>
    <w:p>
      <w:pPr>
        <w:ind w:leftChars="0"/>
      </w:pPr>
    </w:p>
    <w:p>
      <w:pPr>
        <w:pStyle w:val="4"/>
        <w:spacing w:before="0" w:after="0" w:line="360" w:lineRule="auto"/>
        <w:rPr>
          <w:rFonts w:hint="default" w:ascii="宋体" w:hAnsi="宋体"/>
          <w:sz w:val="24"/>
        </w:rPr>
      </w:pPr>
      <w:bookmarkStart w:id="31" w:name="_Toc60821198"/>
      <w:bookmarkStart w:id="32" w:name="_Toc60821249"/>
      <w:bookmarkStart w:id="33" w:name="_Toc60821803"/>
      <w:r>
        <w:rPr>
          <w:rFonts w:hint="eastAsia" w:ascii="宋体" w:hAnsi="宋体"/>
          <w:sz w:val="24"/>
        </w:rPr>
        <w:t>5.会计报表重要项目的明细信息及说明</w:t>
      </w:r>
      <w:bookmarkEnd w:id="31"/>
      <w:bookmarkEnd w:id="32"/>
      <w:bookmarkEnd w:id="33"/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（1）货币资金明细信息如下：</w:t>
      </w:r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3317"/>
        <w:gridCol w:w="3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  <w:t>货币资金明细表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66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项目</w:t>
            </w:r>
          </w:p>
        </w:tc>
        <w:tc>
          <w:tcPr>
            <w:tcW w:w="166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年末数</w:t>
            </w:r>
          </w:p>
        </w:tc>
        <w:tc>
          <w:tcPr>
            <w:tcW w:w="166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库存现金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0.13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银行存款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759.83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940.59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其他货币资金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666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合计</w:t>
            </w:r>
          </w:p>
        </w:tc>
        <w:tc>
          <w:tcPr>
            <w:tcW w:w="1666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759.95</w:t>
            </w:r>
          </w:p>
        </w:tc>
        <w:tc>
          <w:tcPr>
            <w:tcW w:w="1666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940.89</w:t>
            </w:r>
          </w:p>
        </w:tc>
      </w:tr>
    </w:tbl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（2）应收账款明细信息（无）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（3）预付账款明细信息（无）</w:t>
      </w:r>
    </w:p>
    <w:p>
      <w:pPr>
        <w:spacing w:line="360" w:lineRule="auto"/>
        <w:ind w:firstLineChars="0"/>
        <w:jc w:val="left"/>
        <w:rPr>
          <w:rFonts w:hint="eastAsia" w:ascii="宋体" w:hAnsi="宋体" w:eastAsia="宋体"/>
          <w:color w:val="000022"/>
          <w:sz w:val="22"/>
          <w:szCs w:val="22"/>
        </w:rPr>
        <w:sectPr>
          <w:pgSz w:w="11906" w:h="16838"/>
          <w:pgMar w:top="1440" w:right="1083" w:bottom="1440" w:left="1083" w:header="0" w:footer="720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（4）其他应收款净额明细信息如下：</w:t>
      </w:r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2126"/>
        <w:gridCol w:w="2126"/>
        <w:gridCol w:w="2126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  <w:t>其他应收款净额明细表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2000" w:type="pct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债务人</w:t>
            </w:r>
          </w:p>
        </w:tc>
        <w:tc>
          <w:tcPr>
            <w:tcW w:w="750" w:type="pc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其他应收款原值</w:t>
            </w:r>
          </w:p>
        </w:tc>
        <w:tc>
          <w:tcPr>
            <w:tcW w:w="150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减：坏账准备</w:t>
            </w:r>
          </w:p>
        </w:tc>
        <w:tc>
          <w:tcPr>
            <w:tcW w:w="7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其他应收款净值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200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年末数</w:t>
            </w: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当期补提或冲减数</w:t>
            </w: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年末数</w:t>
            </w: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年末数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应收本部门内部单位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应收本部门以外的同级政府单位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应收本部门以外的非同级政府单位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应收同级财政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应收其他单位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303.09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303.09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合计</w:t>
            </w: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303.09</w:t>
            </w: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303.09</w:t>
            </w:r>
          </w:p>
        </w:tc>
      </w:tr>
    </w:tbl>
    <w:p>
      <w:pPr>
        <w:spacing w:line="360" w:lineRule="auto"/>
        <w:ind w:firstLineChars="0"/>
        <w:jc w:val="left"/>
        <w:rPr>
          <w:rFonts w:hint="eastAsia" w:ascii="宋体" w:hAnsi="宋体" w:eastAsia="宋体"/>
          <w:color w:val="000022"/>
          <w:sz w:val="22"/>
          <w:szCs w:val="22"/>
        </w:rPr>
      </w:pPr>
      <w:r>
        <w:rPr>
          <w:rFonts w:hint="eastAsia" w:ascii="宋体" w:hAnsi="宋体" w:eastAsia="宋体"/>
          <w:color w:val="000022"/>
          <w:sz w:val="22"/>
          <w:szCs w:val="22"/>
        </w:rPr>
        <w:t>注：当期坏账准备冲减数以“-”号填列。</w:t>
      </w:r>
    </w:p>
    <w:p>
      <w:pPr>
        <w:spacing w:line="360" w:lineRule="auto"/>
        <w:ind w:firstLineChars="0"/>
        <w:jc w:val="left"/>
        <w:rPr>
          <w:rFonts w:hint="eastAsia" w:ascii="宋体" w:hAnsi="宋体" w:eastAsia="宋体"/>
          <w:color w:val="000022"/>
          <w:sz w:val="22"/>
          <w:szCs w:val="22"/>
        </w:rPr>
        <w:sectPr>
          <w:pgSz w:w="16838" w:h="11906" w:orient="landscape"/>
          <w:pgMar w:top="1083" w:right="1440" w:bottom="1083" w:left="1440" w:header="0" w:footer="720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（5）长期投资及投资收益明细信息（无）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（6）固定资产明细信息如下：</w:t>
      </w:r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2"/>
        <w:gridCol w:w="1493"/>
        <w:gridCol w:w="1493"/>
        <w:gridCol w:w="1494"/>
        <w:gridCol w:w="14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  <w:t>固定资产明细表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20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项目</w:t>
            </w:r>
          </w:p>
        </w:tc>
        <w:tc>
          <w:tcPr>
            <w:tcW w:w="7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年初数</w:t>
            </w:r>
          </w:p>
        </w:tc>
        <w:tc>
          <w:tcPr>
            <w:tcW w:w="7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本年增加</w:t>
            </w:r>
          </w:p>
        </w:tc>
        <w:tc>
          <w:tcPr>
            <w:tcW w:w="7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本年减少</w:t>
            </w:r>
          </w:p>
        </w:tc>
        <w:tc>
          <w:tcPr>
            <w:tcW w:w="75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年末数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原值合计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533.24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35.09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568.33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房屋及构筑物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284.87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284.87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通用设备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167.63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13.78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181.41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专用设备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22.05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22.05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文物和陈列品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图书、档案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家具、用具、装具及动植物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58.70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21.32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80.01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累计折旧合计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36.69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231.81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268.50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房屋及构筑物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9.50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117.35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126.84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通用设备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21.06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79.48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100.54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专用设备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2.33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6.98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9.31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文物和陈列品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图书、档案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家具、用具、装具及动植物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3.80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28.00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净值合计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496.55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299.84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房屋及构筑物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275.37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158.02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通用设备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146.57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80.87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专用设备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19.72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12.73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文物和陈列品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图书、档案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家具、用具、装具及动植物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54.89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--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48.22</w:t>
            </w:r>
          </w:p>
        </w:tc>
      </w:tr>
    </w:tbl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（7）在建工程明细信息（无）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（8）无形资产明细信息（无）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（9）公共基础设施明细信息（无）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公共基础设施明细表（累计折旧/摊销）（无）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公共基础设施明细表（净值）（无）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（10）政府储备物资明细信息（无）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（11）保障性住房明细信息（无）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（12）应付账款明细信息（无）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（13）预收账款明细信息（无）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（14）其他应付款明细信息如下：</w:t>
      </w:r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4"/>
        <w:gridCol w:w="3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  <w:t>其他应付款明细表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30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债权人</w:t>
            </w:r>
          </w:p>
        </w:tc>
        <w:tc>
          <w:tcPr>
            <w:tcW w:w="20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年末数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应付本部门内部单位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应付本部门以外的同级政府单位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应付本部门以外的非同级政府单位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应付同级财政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应付其他单位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1,061.18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0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合计</w:t>
            </w:r>
          </w:p>
        </w:tc>
        <w:tc>
          <w:tcPr>
            <w:tcW w:w="20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1,061.18</w:t>
            </w:r>
          </w:p>
        </w:tc>
      </w:tr>
    </w:tbl>
    <w:p>
      <w:pPr>
        <w:spacing w:line="360" w:lineRule="auto"/>
        <w:ind w:firstLineChars="0"/>
        <w:jc w:val="left"/>
        <w:rPr>
          <w:rFonts w:hint="eastAsia" w:ascii="宋体" w:hAnsi="宋体" w:eastAsia="宋体"/>
          <w:color w:val="000022"/>
          <w:sz w:val="22"/>
          <w:szCs w:val="22"/>
        </w:rPr>
      </w:pPr>
      <w:r>
        <w:rPr>
          <w:rFonts w:hint="eastAsia" w:ascii="宋体" w:hAnsi="宋体" w:eastAsia="宋体"/>
          <w:color w:val="000022"/>
          <w:sz w:val="22"/>
          <w:szCs w:val="22"/>
        </w:rPr>
        <w:t>注：“应付同级财政”主要包括预拨经费、向同级财政部门借入的款项。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（15）长期借款明细信息（无）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（16）长期应付款明细信息（无）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（17）事业收入明细信息（无）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（18）经营收入明细信息（无）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（19）非同级财政拨款收入明细信息（无）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（20）其他收入明细信息（无）</w:t>
      </w: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（21）业务活动费用明细信息如下：</w:t>
      </w:r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0"/>
        <w:gridCol w:w="2788"/>
        <w:gridCol w:w="2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  <w:t>业务活动费用明细表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22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项目</w:t>
            </w:r>
          </w:p>
        </w:tc>
        <w:tc>
          <w:tcPr>
            <w:tcW w:w="14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本年数</w:t>
            </w:r>
          </w:p>
        </w:tc>
        <w:tc>
          <w:tcPr>
            <w:tcW w:w="14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上年数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工资和福利费用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1,245.40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888.06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商品和服务费用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431.98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268.66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对个人和家庭的补助费用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331.01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456.39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对企业补助费用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1,037.19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1,547.61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固定资产折旧费用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41.16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36.69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无形资产摊销费用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公共基础设施折旧（摊销）费用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保障性住房折旧费用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计提专用基金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其他业务活动费用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506.64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697.72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合计</w:t>
            </w:r>
          </w:p>
        </w:tc>
        <w:tc>
          <w:tcPr>
            <w:tcW w:w="14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3,593.38</w:t>
            </w:r>
          </w:p>
        </w:tc>
        <w:tc>
          <w:tcPr>
            <w:tcW w:w="14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3,895.13</w:t>
            </w:r>
          </w:p>
        </w:tc>
      </w:tr>
    </w:tbl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（22）单位管理费用明细信息如下：</w:t>
      </w:r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0"/>
        <w:gridCol w:w="2788"/>
        <w:gridCol w:w="2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  <w:t>单位管理费用明细表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22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项目</w:t>
            </w:r>
          </w:p>
        </w:tc>
        <w:tc>
          <w:tcPr>
            <w:tcW w:w="14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本年数</w:t>
            </w:r>
          </w:p>
        </w:tc>
        <w:tc>
          <w:tcPr>
            <w:tcW w:w="140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上年数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工资和福利费用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商品和服务费用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对个人和家庭的补助费用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固定资产折旧费用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无形资产摊销费用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其他单位管理费用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合计</w:t>
            </w:r>
          </w:p>
        </w:tc>
        <w:tc>
          <w:tcPr>
            <w:tcW w:w="14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14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50.02</w:t>
            </w:r>
          </w:p>
        </w:tc>
      </w:tr>
    </w:tbl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（23）经营费用明细信息（无）</w:t>
      </w:r>
    </w:p>
    <w:p>
      <w:pPr>
        <w:spacing w:line="360" w:lineRule="auto"/>
        <w:ind w:firstLineChars="0"/>
        <w:jc w:val="left"/>
        <w:rPr>
          <w:rFonts w:hint="eastAsia" w:ascii="宋体" w:hAnsi="宋体" w:eastAsia="宋体"/>
          <w:color w:val="000022"/>
          <w:sz w:val="22"/>
          <w:szCs w:val="22"/>
        </w:rPr>
        <w:sectPr>
          <w:pgSz w:w="11906" w:h="16838"/>
          <w:pgMar w:top="1440" w:right="1083" w:bottom="1440" w:left="1083" w:header="0" w:footer="720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Chars="200"/>
        <w:jc w:val="left"/>
        <w:rPr>
          <w:rFonts w:hint="eastAsia" w:ascii="宋体" w:hAnsi="宋体" w:eastAsia="宋体"/>
          <w:color w:val="000024"/>
          <w:sz w:val="24"/>
          <w:szCs w:val="24"/>
        </w:rPr>
      </w:pPr>
      <w:r>
        <w:rPr>
          <w:rFonts w:hint="eastAsia" w:ascii="宋体" w:hAnsi="宋体" w:eastAsia="宋体"/>
          <w:color w:val="000024"/>
          <w:sz w:val="24"/>
          <w:szCs w:val="24"/>
        </w:rPr>
        <w:t>（24）商品和服务费用明细信息如下：</w:t>
      </w:r>
    </w:p>
    <w:tbl>
      <w:tblPr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2126"/>
        <w:gridCol w:w="2126"/>
        <w:gridCol w:w="2126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附表 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24"/>
                <w:sz w:val="24"/>
                <w:szCs w:val="24"/>
              </w:rPr>
              <w:t>商品和服务费用明细表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2000" w:type="pct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项目</w:t>
            </w:r>
          </w:p>
        </w:tc>
        <w:tc>
          <w:tcPr>
            <w:tcW w:w="3000" w:type="pct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本年数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2000" w:type="pct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合计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业务活动费用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单位管理费用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经营费用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支付给本部门内部单位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支付给本部门以外的同级政府单位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支付给本部门以外的非同级政府单位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left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支付给其他单位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431.98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431.98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0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center"/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000022"/>
                <w:sz w:val="22"/>
                <w:szCs w:val="22"/>
              </w:rPr>
              <w:t>合计</w:t>
            </w: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431.98</w:t>
            </w: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22"/>
                <w:sz w:val="22"/>
                <w:szCs w:val="22"/>
              </w:rPr>
              <w:t>431.98</w:t>
            </w: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Chars="0"/>
              <w:jc w:val="right"/>
              <w:rPr>
                <w:rFonts w:hint="eastAsia" w:ascii="宋体" w:hAnsi="宋体" w:eastAsia="宋体"/>
                <w:color w:val="000022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Chars="0"/>
        <w:jc w:val="left"/>
        <w:rPr>
          <w:rFonts w:hint="eastAsia" w:ascii="宋体" w:hAnsi="宋体" w:eastAsia="宋体"/>
          <w:color w:val="000022"/>
          <w:sz w:val="22"/>
          <w:szCs w:val="22"/>
        </w:rPr>
        <w:sectPr>
          <w:pgSz w:w="16838" w:h="11906" w:orient="landscape"/>
          <w:pgMar w:top="1083" w:right="1440" w:bottom="1083" w:left="1440" w:header="0" w:footer="720" w:gutter="0"/>
          <w:cols w:space="425" w:num="1"/>
          <w:docGrid w:type="lines" w:linePitch="312" w:charSpace="0"/>
        </w:sectPr>
      </w:pPr>
    </w:p>
    <w:p>
      <w:pPr>
        <w:pStyle w:val="4"/>
        <w:spacing w:before="0" w:after="0" w:line="360" w:lineRule="auto"/>
        <w:ind w:leftChars="0"/>
        <w:rPr>
          <w:rFonts w:hint="eastAsia" w:ascii="宋体" w:hAnsi="宋体"/>
          <w:sz w:val="24"/>
        </w:rPr>
      </w:pPr>
      <w:bookmarkStart w:id="34" w:name="_Toc60821199"/>
      <w:bookmarkStart w:id="35" w:name="_Toc60821250"/>
      <w:bookmarkStart w:id="36" w:name="_Toc60821804"/>
      <w:r>
        <w:rPr>
          <w:rFonts w:hint="eastAsia" w:ascii="宋体" w:hAnsi="宋体"/>
          <w:sz w:val="24"/>
          <w:lang w:val="en-US" w:eastAsia="zh-CN"/>
        </w:rPr>
        <w:t>6.</w:t>
      </w:r>
      <w:r>
        <w:rPr>
          <w:rFonts w:hint="eastAsia" w:ascii="宋体" w:hAnsi="宋体"/>
          <w:sz w:val="24"/>
        </w:rPr>
        <w:t>需要说明的其他事项。</w:t>
      </w:r>
      <w:bookmarkEnd w:id="34"/>
      <w:bookmarkEnd w:id="35"/>
      <w:bookmarkEnd w:id="36"/>
    </w:p>
    <w:p>
      <w:pPr>
        <w:pStyle w:val="22"/>
        <w:spacing w:line="360" w:lineRule="auto"/>
        <w:ind w:firstLine="600"/>
        <w:rPr>
          <w:rFonts w:hint="default" w:ascii="仿宋_GB2312"/>
        </w:rPr>
      </w:pPr>
      <w:r>
        <w:rPr>
          <w:rFonts w:hint="eastAsia" w:ascii="仿宋_GB2312"/>
        </w:rPr>
        <w:t>（1）以前年度差错更正。</w:t>
      </w:r>
    </w:p>
    <w:p>
      <w:pPr>
        <w:pStyle w:val="22"/>
        <w:spacing w:line="360" w:lineRule="auto"/>
        <w:ind w:firstLine="600"/>
      </w:pPr>
      <w:r>
        <w:rPr>
          <w:rFonts w:hint="eastAsia" w:ascii="仿宋_GB2312"/>
        </w:rPr>
        <w:t>无</w:t>
      </w:r>
    </w:p>
    <w:p>
      <w:pPr>
        <w:ind w:leftChars="0"/>
      </w:pPr>
    </w:p>
    <w:p>
      <w:pPr>
        <w:pStyle w:val="2"/>
        <w:spacing w:before="0" w:after="0" w:line="360" w:lineRule="auto"/>
        <w:rPr>
          <w:rFonts w:hint="default" w:eastAsia="黑体"/>
          <w:sz w:val="32"/>
        </w:rPr>
      </w:pPr>
      <w:bookmarkStart w:id="37" w:name="_Toc60821200"/>
      <w:bookmarkStart w:id="38" w:name="_Toc60821251"/>
      <w:bookmarkStart w:id="39" w:name="_Toc60821805"/>
      <w:r>
        <w:rPr>
          <w:rFonts w:hint="eastAsia" w:eastAsia="黑体"/>
          <w:sz w:val="32"/>
        </w:rPr>
        <w:t>二、 政府部门财务分析</w:t>
      </w:r>
      <w:bookmarkEnd w:id="37"/>
      <w:bookmarkEnd w:id="38"/>
      <w:bookmarkEnd w:id="39"/>
      <w:r>
        <w:rPr>
          <w:rFonts w:hint="eastAsia" w:eastAsia="黑体"/>
          <w:sz w:val="32"/>
        </w:rPr>
        <w:t xml:space="preserve"> </w:t>
      </w:r>
    </w:p>
    <w:p>
      <w:pPr>
        <w:pStyle w:val="3"/>
        <w:spacing w:before="0" w:after="0" w:line="360" w:lineRule="auto"/>
        <w:rPr>
          <w:rFonts w:hint="eastAsia" w:ascii="楷体" w:hAnsi="楷体" w:eastAsia="楷体"/>
          <w:sz w:val="30"/>
        </w:rPr>
      </w:pPr>
      <w:bookmarkStart w:id="40" w:name="_Toc60821201"/>
      <w:bookmarkStart w:id="41" w:name="_Toc60821252"/>
      <w:bookmarkStart w:id="42" w:name="_Toc60821806"/>
      <w:r>
        <w:rPr>
          <w:rFonts w:hint="eastAsia" w:ascii="楷体" w:hAnsi="楷体" w:eastAsia="楷体"/>
          <w:sz w:val="30"/>
        </w:rPr>
        <w:t>（一）政府部门工作目标完成情况。</w:t>
      </w:r>
      <w:bookmarkEnd w:id="40"/>
      <w:bookmarkEnd w:id="41"/>
      <w:bookmarkEnd w:id="42"/>
    </w:p>
    <w:p>
      <w:pPr>
        <w:spacing w:line="800" w:lineRule="exact"/>
        <w:ind w:firstLine="300" w:firstLineChars="1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1、基本职能：</w:t>
      </w:r>
    </w:p>
    <w:p>
      <w:pPr>
        <w:spacing w:line="800" w:lineRule="exact"/>
        <w:ind w:firstLine="300" w:firstLineChars="1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庄河市大营镇人民政府是本级单位，其主要职责：</w:t>
      </w:r>
    </w:p>
    <w:p>
      <w:pPr>
        <w:spacing w:line="800" w:lineRule="exact"/>
        <w:ind w:firstLine="300" w:firstLineChars="1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（1）执行本级人民代表大会的决议和上级国家行政机关的决定和命令，发布决定和命令。</w:t>
      </w:r>
    </w:p>
    <w:p>
      <w:pPr>
        <w:spacing w:line="800" w:lineRule="exact"/>
        <w:ind w:firstLine="300" w:firstLineChars="1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（2）执行本行政区域内的经济和社会发展计划、预算，管理本行政区域内的经济、教育、科学、文化、卫生、体育事业和财政、民政、公安、司法行政、计划生育等行政工作。</w:t>
      </w:r>
    </w:p>
    <w:p>
      <w:pPr>
        <w:spacing w:line="800" w:lineRule="exact"/>
        <w:ind w:firstLine="300" w:firstLineChars="1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（3）保护社会主义的全民所有的财产和劳动群众集体所有的财产，保护公民私人所有的合法财产，维护社会秩序，保障公民的人身权利、民主权利和其他权利。</w:t>
      </w:r>
    </w:p>
    <w:p>
      <w:pPr>
        <w:spacing w:line="800" w:lineRule="exact"/>
        <w:ind w:firstLine="300" w:firstLineChars="1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（4）保护各种经济组织的合法权益。</w:t>
      </w:r>
    </w:p>
    <w:p>
      <w:pPr>
        <w:spacing w:line="800" w:lineRule="exact"/>
        <w:ind w:firstLine="300" w:firstLineChars="1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(5)保障少数民族的权利和尊重少数民族的风俗习惯。</w:t>
      </w:r>
    </w:p>
    <w:p>
      <w:pPr>
        <w:spacing w:line="800" w:lineRule="exact"/>
        <w:ind w:firstLine="300" w:firstLineChars="1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（6）办理上级市委、市政府政府交办的其他事项。</w:t>
      </w:r>
    </w:p>
    <w:p>
      <w:pPr>
        <w:spacing w:line="360" w:lineRule="auto"/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2、机构设置：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纳入大营镇</w:t>
      </w:r>
      <w:r>
        <w:rPr>
          <w:rFonts w:hint="eastAsia" w:ascii="仿宋" w:hAnsi="仿宋" w:eastAsia="仿宋"/>
          <w:sz w:val="30"/>
          <w:szCs w:val="30"/>
          <w:lang w:eastAsia="zh-CN"/>
        </w:rPr>
        <w:t>2020</w:t>
      </w:r>
      <w:r>
        <w:rPr>
          <w:rFonts w:hint="eastAsia" w:ascii="仿宋" w:hAnsi="仿宋" w:eastAsia="仿宋"/>
          <w:sz w:val="30"/>
          <w:szCs w:val="30"/>
        </w:rPr>
        <w:t>年度政府财务报告编制范围的二级预算单位仅包括：庄河市大营镇人民政府本级。</w:t>
      </w:r>
    </w:p>
    <w:p>
      <w:pPr>
        <w:spacing w:line="360" w:lineRule="auto"/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3、执行情况及完成情况：</w:t>
      </w:r>
    </w:p>
    <w:p>
      <w:pPr>
        <w:spacing w:line="360" w:lineRule="auto"/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2020</w:t>
      </w:r>
      <w:r>
        <w:rPr>
          <w:rFonts w:hint="eastAsia" w:ascii="仿宋" w:hAnsi="仿宋" w:eastAsia="仿宋"/>
          <w:sz w:val="30"/>
          <w:szCs w:val="30"/>
        </w:rPr>
        <w:t>年大营镇人民政府较好完成了上级财政部门要求的各项指标要求。</w:t>
      </w:r>
    </w:p>
    <w:p>
      <w:pPr>
        <w:spacing w:line="360" w:lineRule="auto"/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4、绩效目标及完成情况：</w:t>
      </w:r>
      <w:r>
        <w:rPr>
          <w:rFonts w:hint="default" w:ascii="仿宋" w:hAnsi="仿宋" w:eastAsia="仿宋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2020</w:t>
      </w:r>
      <w:r>
        <w:rPr>
          <w:rFonts w:hint="eastAsia" w:ascii="仿宋" w:hAnsi="仿宋" w:eastAsia="仿宋"/>
          <w:sz w:val="30"/>
          <w:szCs w:val="30"/>
        </w:rPr>
        <w:t>年大营镇人民政府严格按照绩效考核目标要求，较好完成上级财政部门要求的各项指标要求。</w:t>
      </w:r>
    </w:p>
    <w:p/>
    <w:p>
      <w:pPr>
        <w:pStyle w:val="3"/>
        <w:numPr>
          <w:ilvl w:val="0"/>
          <w:numId w:val="2"/>
        </w:numPr>
        <w:spacing w:before="0" w:after="0" w:line="360" w:lineRule="auto"/>
        <w:rPr>
          <w:rFonts w:hint="eastAsia" w:ascii="楷体" w:hAnsi="楷体" w:eastAsia="楷体"/>
          <w:sz w:val="30"/>
        </w:rPr>
      </w:pPr>
      <w:bookmarkStart w:id="43" w:name="_Toc60821202"/>
      <w:bookmarkStart w:id="44" w:name="_Toc60821253"/>
      <w:bookmarkStart w:id="45" w:name="_Toc60821807"/>
      <w:r>
        <w:rPr>
          <w:rFonts w:hint="eastAsia" w:ascii="楷体" w:hAnsi="楷体" w:eastAsia="楷体"/>
          <w:sz w:val="30"/>
        </w:rPr>
        <w:t>政府部门财务状况分析。</w:t>
      </w:r>
      <w:bookmarkEnd w:id="43"/>
      <w:bookmarkEnd w:id="44"/>
      <w:bookmarkEnd w:id="45"/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根据财务报表数据反映，20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年末资产总额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13628812.79</w:t>
      </w:r>
      <w:r>
        <w:rPr>
          <w:rFonts w:hint="eastAsia" w:ascii="仿宋" w:hAnsi="仿宋" w:eastAsia="仿宋"/>
          <w:sz w:val="30"/>
          <w:szCs w:val="30"/>
        </w:rPr>
        <w:t>元，负债总额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10620717.11</w:t>
      </w:r>
      <w:r>
        <w:rPr>
          <w:rFonts w:hint="eastAsia" w:ascii="仿宋" w:hAnsi="仿宋" w:eastAsia="仿宋"/>
          <w:sz w:val="30"/>
          <w:szCs w:val="30"/>
        </w:rPr>
        <w:t>元，净资产总额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3008095.68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1、资产类：本单位20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年期末资产总额为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13628812.79</w:t>
      </w:r>
      <w:r>
        <w:rPr>
          <w:rFonts w:hint="eastAsia" w:ascii="仿宋" w:hAnsi="仿宋" w:eastAsia="仿宋"/>
          <w:sz w:val="30"/>
          <w:szCs w:val="30"/>
        </w:rPr>
        <w:t>元，较年初减少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3649135.49</w:t>
      </w:r>
      <w:r>
        <w:rPr>
          <w:rFonts w:hint="eastAsia" w:ascii="仿宋" w:hAnsi="仿宋" w:eastAsia="仿宋"/>
          <w:sz w:val="30"/>
          <w:szCs w:val="30"/>
        </w:rPr>
        <w:t>元，其中占比较大的是货币资金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7599542.18</w:t>
      </w:r>
      <w:r>
        <w:rPr>
          <w:rFonts w:hint="eastAsia" w:ascii="仿宋" w:hAnsi="仿宋" w:eastAsia="仿宋"/>
          <w:sz w:val="30"/>
          <w:szCs w:val="30"/>
        </w:rPr>
        <w:t>元，其他应收款净额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3030894.52</w:t>
      </w:r>
      <w:r>
        <w:rPr>
          <w:rFonts w:hint="eastAsia" w:ascii="仿宋" w:hAnsi="仿宋" w:eastAsia="仿宋"/>
          <w:sz w:val="30"/>
          <w:szCs w:val="30"/>
        </w:rPr>
        <w:t>元，固定资产净值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2998376.09</w:t>
      </w:r>
      <w:r>
        <w:rPr>
          <w:rFonts w:hint="eastAsia" w:ascii="仿宋" w:hAnsi="仿宋" w:eastAsia="仿宋"/>
          <w:sz w:val="30"/>
          <w:szCs w:val="30"/>
        </w:rPr>
        <w:t>元等，依次占比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55.76</w:t>
      </w:r>
      <w:r>
        <w:rPr>
          <w:rFonts w:hint="eastAsia" w:ascii="仿宋" w:hAnsi="仿宋" w:eastAsia="仿宋"/>
          <w:sz w:val="30"/>
          <w:szCs w:val="30"/>
        </w:rPr>
        <w:t>%，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22.24</w:t>
      </w:r>
      <w:r>
        <w:rPr>
          <w:rFonts w:hint="eastAsia" w:ascii="仿宋" w:hAnsi="仿宋" w:eastAsia="仿宋"/>
          <w:sz w:val="30"/>
          <w:szCs w:val="30"/>
        </w:rPr>
        <w:t>%，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22.0</w:t>
      </w:r>
      <w:r>
        <w:rPr>
          <w:rFonts w:hint="eastAsia" w:ascii="仿宋" w:hAnsi="仿宋" w:eastAsia="仿宋"/>
          <w:sz w:val="30"/>
          <w:szCs w:val="30"/>
        </w:rPr>
        <w:t>%。</w:t>
      </w:r>
    </w:p>
    <w:p>
      <w:pPr>
        <w:ind w:firstLine="6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2、负债类：本单位</w:t>
      </w:r>
      <w:r>
        <w:rPr>
          <w:rFonts w:hint="eastAsia" w:ascii="仿宋" w:hAnsi="仿宋" w:eastAsia="仿宋"/>
          <w:sz w:val="30"/>
          <w:szCs w:val="30"/>
          <w:lang w:eastAsia="zh-CN"/>
        </w:rPr>
        <w:t>2020</w:t>
      </w:r>
      <w:r>
        <w:rPr>
          <w:rFonts w:hint="eastAsia" w:ascii="仿宋" w:hAnsi="仿宋" w:eastAsia="仿宋"/>
          <w:sz w:val="30"/>
          <w:szCs w:val="30"/>
        </w:rPr>
        <w:t>年期末负债总额为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10620717.11</w:t>
      </w:r>
      <w:r>
        <w:rPr>
          <w:rFonts w:hint="eastAsia" w:ascii="仿宋" w:hAnsi="仿宋" w:eastAsia="仿宋"/>
          <w:sz w:val="30"/>
          <w:szCs w:val="30"/>
        </w:rPr>
        <w:t>元，较期初减少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1720725.53</w:t>
      </w:r>
      <w:r>
        <w:rPr>
          <w:rFonts w:hint="eastAsia" w:ascii="仿宋" w:hAnsi="仿宋" w:eastAsia="仿宋"/>
          <w:sz w:val="30"/>
          <w:szCs w:val="30"/>
        </w:rPr>
        <w:t>元，其中占比较大的为其他应付款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10611813.23</w:t>
      </w:r>
      <w:r>
        <w:rPr>
          <w:rFonts w:hint="eastAsia" w:ascii="仿宋" w:hAnsi="仿宋" w:eastAsia="仿宋"/>
          <w:sz w:val="30"/>
          <w:szCs w:val="30"/>
        </w:rPr>
        <w:t>元，占比为99.9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%，其他应交税费为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454.33</w:t>
      </w:r>
      <w:r>
        <w:rPr>
          <w:rFonts w:hint="eastAsia" w:ascii="仿宋" w:hAnsi="仿宋" w:eastAsia="仿宋"/>
          <w:sz w:val="30"/>
          <w:szCs w:val="30"/>
        </w:rPr>
        <w:t>元，应付职工薪酬为8449.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5元。</w:t>
      </w:r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3、资产负债率7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7.93</w:t>
      </w:r>
      <w:r>
        <w:rPr>
          <w:rFonts w:hint="eastAsia" w:ascii="仿宋" w:hAnsi="仿宋" w:eastAsia="仿宋"/>
          <w:sz w:val="30"/>
          <w:szCs w:val="30"/>
        </w:rPr>
        <w:t>%，现金比率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71.55</w:t>
      </w:r>
      <w:r>
        <w:rPr>
          <w:rFonts w:hint="eastAsia" w:ascii="仿宋" w:hAnsi="仿宋" w:eastAsia="仿宋"/>
          <w:sz w:val="30"/>
          <w:szCs w:val="30"/>
        </w:rPr>
        <w:t>%，流动比率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100</w:t>
      </w:r>
      <w:r>
        <w:rPr>
          <w:rFonts w:hint="eastAsia" w:ascii="仿宋" w:hAnsi="仿宋" w:eastAsia="仿宋"/>
          <w:sz w:val="30"/>
          <w:szCs w:val="30"/>
        </w:rPr>
        <w:t>%，固定资产成新率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52.76</w:t>
      </w:r>
      <w:r>
        <w:rPr>
          <w:rFonts w:hint="eastAsia" w:ascii="仿宋" w:hAnsi="仿宋" w:eastAsia="仿宋"/>
          <w:sz w:val="30"/>
          <w:szCs w:val="30"/>
        </w:rPr>
        <w:t>%。</w:t>
      </w:r>
    </w:p>
    <w:p>
      <w:pPr/>
    </w:p>
    <w:p>
      <w:pPr>
        <w:pStyle w:val="3"/>
        <w:numPr>
          <w:ilvl w:val="0"/>
          <w:numId w:val="2"/>
        </w:numPr>
        <w:spacing w:before="0" w:after="0" w:line="360" w:lineRule="auto"/>
        <w:ind w:left="0" w:leftChars="0" w:firstLine="0" w:firstLineChars="0"/>
      </w:pPr>
      <w:bookmarkStart w:id="46" w:name="_Toc60821203"/>
      <w:bookmarkStart w:id="47" w:name="_Toc60821254"/>
      <w:bookmarkStart w:id="48" w:name="_Toc60821808"/>
      <w:r>
        <w:rPr>
          <w:rFonts w:hint="eastAsia" w:ascii="楷体" w:hAnsi="楷体" w:eastAsia="楷体"/>
          <w:sz w:val="30"/>
        </w:rPr>
        <w:t>政府部门运行情况分析。</w:t>
      </w:r>
      <w:bookmarkEnd w:id="46"/>
      <w:bookmarkEnd w:id="47"/>
      <w:bookmarkEnd w:id="48"/>
    </w:p>
    <w:p>
      <w:pPr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1、本单位</w:t>
      </w:r>
      <w:r>
        <w:rPr>
          <w:rFonts w:hint="eastAsia" w:ascii="仿宋" w:hAnsi="仿宋" w:eastAsia="仿宋"/>
          <w:sz w:val="30"/>
          <w:szCs w:val="30"/>
          <w:lang w:eastAsia="zh-CN"/>
        </w:rPr>
        <w:t>2020</w:t>
      </w:r>
      <w:r>
        <w:rPr>
          <w:rFonts w:hint="eastAsia" w:ascii="仿宋" w:hAnsi="仿宋" w:eastAsia="仿宋"/>
          <w:sz w:val="30"/>
          <w:szCs w:val="30"/>
        </w:rPr>
        <w:t>年总收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入35,911,879.86元，</w:t>
      </w:r>
      <w:r>
        <w:rPr>
          <w:rFonts w:hint="eastAsia" w:ascii="仿宋" w:hAnsi="仿宋" w:eastAsia="仿宋"/>
          <w:sz w:val="30"/>
          <w:szCs w:val="30"/>
        </w:rPr>
        <w:t>其中财政拨款收</w:t>
      </w:r>
      <w:r>
        <w:rPr>
          <w:rFonts w:hint="eastAsia" w:ascii="仿宋" w:hAnsi="仿宋" w:eastAsia="仿宋" w:cs="Times New Roman"/>
          <w:sz w:val="30"/>
          <w:szCs w:val="30"/>
        </w:rPr>
        <w:t>入35,878,282.41元，占比99.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91</w:t>
      </w:r>
      <w:r>
        <w:rPr>
          <w:rFonts w:hint="eastAsia" w:ascii="仿宋" w:hAnsi="仿宋" w:eastAsia="仿宋" w:cs="Times New Roman"/>
          <w:sz w:val="30"/>
          <w:szCs w:val="30"/>
        </w:rPr>
        <w:t>%。</w:t>
      </w:r>
    </w:p>
    <w:p>
      <w:pPr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2、本单位</w:t>
      </w:r>
      <w:r>
        <w:rPr>
          <w:rFonts w:hint="eastAsia" w:ascii="仿宋" w:hAnsi="仿宋" w:eastAsia="仿宋"/>
          <w:sz w:val="30"/>
          <w:szCs w:val="30"/>
          <w:lang w:eastAsia="zh-CN"/>
        </w:rPr>
        <w:t>20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20</w:t>
      </w:r>
      <w:r>
        <w:rPr>
          <w:rFonts w:hint="eastAsia" w:ascii="仿宋" w:hAnsi="仿宋" w:eastAsia="仿宋" w:cs="Times New Roman"/>
          <w:sz w:val="30"/>
          <w:szCs w:val="30"/>
        </w:rPr>
        <w:t>年总费用35,933,768.80元，其中工资和福利费用12,454,022.76元，</w:t>
      </w:r>
      <w:r>
        <w:rPr>
          <w:rFonts w:hint="eastAsia" w:ascii="仿宋" w:hAnsi="仿宋" w:eastAsia="仿宋"/>
          <w:sz w:val="30"/>
          <w:szCs w:val="30"/>
        </w:rPr>
        <w:t>占比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34.66</w:t>
      </w:r>
      <w:r>
        <w:rPr>
          <w:rFonts w:hint="eastAsia" w:ascii="仿宋" w:hAnsi="仿宋" w:eastAsia="仿宋"/>
          <w:sz w:val="30"/>
          <w:szCs w:val="30"/>
        </w:rPr>
        <w:t>%;商品和服</w:t>
      </w:r>
      <w:r>
        <w:rPr>
          <w:rFonts w:hint="eastAsia" w:ascii="仿宋" w:hAnsi="仿宋" w:eastAsia="仿宋" w:cs="Times New Roman"/>
          <w:sz w:val="30"/>
          <w:szCs w:val="30"/>
        </w:rPr>
        <w:t>务费用4,319,836.21元，</w:t>
      </w:r>
      <w:r>
        <w:rPr>
          <w:rFonts w:hint="eastAsia" w:ascii="仿宋" w:hAnsi="仿宋" w:eastAsia="仿宋"/>
          <w:sz w:val="30"/>
          <w:szCs w:val="30"/>
        </w:rPr>
        <w:t>占比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12.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02</w:t>
      </w:r>
      <w:r>
        <w:rPr>
          <w:rFonts w:hint="eastAsia" w:ascii="仿宋" w:hAnsi="仿宋" w:eastAsia="仿宋" w:cs="Times New Roman"/>
          <w:sz w:val="30"/>
          <w:szCs w:val="30"/>
        </w:rPr>
        <w:t>%；对个人和家庭的补助费用3,310,106.27元，占比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9.21</w:t>
      </w:r>
      <w:r>
        <w:rPr>
          <w:rFonts w:hint="eastAsia" w:ascii="仿宋" w:hAnsi="仿宋" w:eastAsia="仿宋" w:cs="Times New Roman"/>
          <w:sz w:val="30"/>
          <w:szCs w:val="30"/>
        </w:rPr>
        <w:t>%；对企业补助费用10,371,892.55元，占比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28.86</w:t>
      </w:r>
      <w:r>
        <w:rPr>
          <w:rFonts w:hint="eastAsia" w:ascii="仿宋" w:hAnsi="仿宋" w:eastAsia="仿宋" w:cs="Times New Roman"/>
          <w:sz w:val="30"/>
          <w:szCs w:val="30"/>
        </w:rPr>
        <w:t>%；固定资产折旧费用411,555.37元，占比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1.15</w:t>
      </w:r>
      <w:r>
        <w:rPr>
          <w:rFonts w:hint="eastAsia" w:ascii="仿宋" w:hAnsi="仿宋" w:eastAsia="仿宋" w:cs="Times New Roman"/>
          <w:sz w:val="30"/>
          <w:szCs w:val="30"/>
        </w:rPr>
        <w:t>%，其他业务活动费用5,066,355.64元，占比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14.1</w:t>
      </w:r>
      <w:r>
        <w:rPr>
          <w:rFonts w:hint="eastAsia" w:ascii="仿宋" w:hAnsi="仿宋" w:eastAsia="仿宋" w:cs="Times New Roman"/>
          <w:sz w:val="30"/>
          <w:szCs w:val="30"/>
        </w:rPr>
        <w:t>%。</w:t>
      </w:r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3、收入费用率100.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06</w:t>
      </w:r>
      <w:r>
        <w:rPr>
          <w:rFonts w:hint="eastAsia" w:ascii="仿宋" w:hAnsi="仿宋" w:eastAsia="仿宋"/>
          <w:sz w:val="30"/>
          <w:szCs w:val="30"/>
        </w:rPr>
        <w:t>%。</w:t>
      </w:r>
    </w:p>
    <w:p/>
    <w:p>
      <w:pPr>
        <w:pStyle w:val="3"/>
        <w:numPr>
          <w:ilvl w:val="0"/>
          <w:numId w:val="2"/>
        </w:numPr>
        <w:spacing w:before="0" w:after="0" w:line="360" w:lineRule="auto"/>
        <w:ind w:left="0" w:leftChars="0" w:firstLine="0" w:firstLineChars="0"/>
        <w:rPr>
          <w:rFonts w:hint="eastAsia" w:ascii="楷体" w:hAnsi="楷体" w:eastAsia="楷体"/>
          <w:sz w:val="30"/>
        </w:rPr>
      </w:pPr>
      <w:bookmarkStart w:id="49" w:name="_Toc60821204"/>
      <w:bookmarkStart w:id="50" w:name="_Toc60821255"/>
      <w:bookmarkStart w:id="51" w:name="_Toc60821809"/>
      <w:r>
        <w:rPr>
          <w:rFonts w:hint="eastAsia" w:ascii="楷体" w:hAnsi="楷体" w:eastAsia="楷体"/>
          <w:sz w:val="30"/>
        </w:rPr>
        <w:t>政府部门财务管理情况。</w:t>
      </w:r>
      <w:bookmarkEnd w:id="49"/>
      <w:bookmarkEnd w:id="50"/>
      <w:bookmarkEnd w:id="51"/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</w:rPr>
        <w:t>1、预算管理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单位不断强化预算意识，实行部门综合预算管理，形成以单位领导支持、财务部门牵头、其他部门密切配合的工作格局，保证预算编制质量。</w:t>
      </w:r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</w:rPr>
        <w:t>2、内控管理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</w:rPr>
        <w:t>健全完善部门内控制度，全面梳理业务流程，明确业务环节，分析风险隐患，完善风险评估机制，制定风险应对策略;有效运用不相容岗位相互分离、内部授权审批控制、归口管理、预算控制、财产保护控制、会计控制、单据控制、信息内部公开等内部控制基本方法，加强对单位层面和业务层面的内部控制，实现内部控制体系全面、有效实施。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3、资产管理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严格执行现行固定资产管理制度，及时入账，并按照数量、金额登记明细账，编制固定资产卡片，确保账面上能真实、完整的反映单位的固定资产情况，并结合本单位的实际情况，完善固定资产管理制度。</w:t>
      </w:r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default" w:ascii="仿宋" w:hAnsi="仿宋" w:eastAsia="仿宋"/>
          <w:sz w:val="30"/>
          <w:szCs w:val="30"/>
        </w:rPr>
        <w:t>、人才队伍建设</w:t>
      </w:r>
    </w:p>
    <w:p>
      <w:pPr>
        <w:ind w:firstLine="450" w:firstLineChars="15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一是领导高度重视，工作落实到位。</w:t>
      </w:r>
      <w:r>
        <w:rPr>
          <w:rFonts w:hint="default" w:ascii="仿宋" w:hAnsi="仿宋" w:eastAsia="仿宋"/>
          <w:sz w:val="30"/>
          <w:szCs w:val="30"/>
        </w:rPr>
        <w:t>二是拓宽引智渠道，加大人才引进力度。根据单位专业人才需求实际，结合编制空缺情况，编制了科学合理的专业技术人才招聘计划，上报人社部门进行统一招考，为单位事业发展注入新鲜血液。三注重培训，提高干部队伍素质。积极</w:t>
      </w:r>
      <w:r>
        <w:rPr>
          <w:rFonts w:hint="eastAsia" w:ascii="仿宋" w:hAnsi="仿宋" w:eastAsia="仿宋"/>
          <w:sz w:val="30"/>
          <w:szCs w:val="30"/>
        </w:rPr>
        <w:t>组织开展专业技术人员业务技能培训工作，切实推进实施专业技术人员知识更新工程，大力提升专业技术人员的职业道德与履职能力。</w:t>
      </w:r>
    </w:p>
    <w:p>
      <w:pPr>
        <w:ind w:leftChars="0"/>
      </w:pPr>
    </w:p>
    <w:sectPr>
      <w:headerReference r:id="rId11" w:type="default"/>
      <w:footerReference r:id="rId12" w:type="default"/>
      <w:pgSz w:w="11906" w:h="16838"/>
      <w:pgMar w:top="1440" w:right="1083" w:bottom="1440" w:left="1083" w:header="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text" w:xAlign="center" w:y="2"/>
      <w:tabs>
        <w:tab w:val="center" w:pos="4153"/>
        <w:tab w:val="right" w:pos="8306"/>
      </w:tabs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fldChar w:fldCharType="end"/>
    </w:r>
  </w:p>
  <w:p>
    <w:pPr>
      <w:pStyle w:val="10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text" w:xAlign="center" w:y="2"/>
      <w:tabs>
        <w:tab w:val="center" w:pos="4153"/>
        <w:tab w:val="right" w:pos="8306"/>
      </w:tabs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1</w:t>
    </w:r>
    <w:r>
      <w:rPr>
        <w:rStyle w:val="19"/>
      </w:rPr>
      <w:fldChar w:fldCharType="end"/>
    </w:r>
  </w:p>
  <w:p>
    <w:pPr>
      <w:pStyle w:val="10"/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text" w:xAlign="center" w:y="2"/>
      <w:tabs>
        <w:tab w:val="center" w:pos="4153"/>
        <w:tab w:val="right" w:pos="8306"/>
      </w:tabs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4</w:t>
    </w:r>
    <w:r>
      <w:rPr>
        <w:rStyle w:val="19"/>
      </w:rPr>
      <w:fldChar w:fldCharType="end"/>
    </w:r>
  </w:p>
  <w:p>
    <w:pPr>
      <w:pStyle w:val="10"/>
      <w:tabs>
        <w:tab w:val="center" w:pos="4153"/>
        <w:tab w:val="right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text" w:xAlign="center" w:y="2"/>
      <w:tabs>
        <w:tab w:val="center" w:pos="4153"/>
        <w:tab w:val="right" w:pos="8306"/>
      </w:tabs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5</w:t>
    </w:r>
    <w:r>
      <w:rPr>
        <w:rStyle w:val="19"/>
      </w:rPr>
      <w:fldChar w:fldCharType="end"/>
    </w:r>
  </w:p>
  <w:p>
    <w:pPr>
      <w:pStyle w:val="10"/>
      <w:tabs>
        <w:tab w:val="center" w:pos="4153"/>
        <w:tab w:val="right" w:pos="8306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text" w:xAlign="center" w:y="2"/>
      <w:tabs>
        <w:tab w:val="center" w:pos="4153"/>
        <w:tab w:val="right" w:pos="8306"/>
      </w:tabs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8</w:t>
    </w:r>
    <w:r>
      <w:rPr>
        <w:rStyle w:val="19"/>
      </w:rPr>
      <w:fldChar w:fldCharType="end"/>
    </w:r>
  </w:p>
  <w:p>
    <w:pPr>
      <w:pStyle w:val="10"/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153"/>
        <w:tab w:val="right" w:pos="830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153"/>
        <w:tab w:val="right" w:pos="830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C1D109"/>
    <w:multiLevelType w:val="singleLevel"/>
    <w:tmpl w:val="E7C1D10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CCB6F7"/>
    <w:multiLevelType w:val="singleLevel"/>
    <w:tmpl w:val="51CCB6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74E55"/>
    <w:rsid w:val="6EC36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hint="default"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paragraph" w:styleId="5">
    <w:name w:val="heading 4"/>
    <w:basedOn w:val="4"/>
    <w:next w:val="1"/>
    <w:uiPriority w:val="0"/>
    <w:pPr>
      <w:spacing w:before="280" w:after="290"/>
      <w:jc w:val="left"/>
      <w:outlineLvl w:val="3"/>
    </w:pPr>
    <w:rPr>
      <w:rFonts w:hint="default" w:ascii="Cambria" w:hAnsi="Cambria" w:eastAsia="仿宋_GB2312"/>
      <w:szCs w:val="28"/>
    </w:rPr>
  </w:style>
  <w:style w:type="character" w:default="1" w:styleId="18">
    <w:name w:val="Default Paragraph Font"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iPriority w:val="0"/>
    <w:pPr>
      <w:ind w:left="1260"/>
      <w:jc w:val="left"/>
    </w:pPr>
    <w:rPr>
      <w:sz w:val="20"/>
      <w:szCs w:val="20"/>
    </w:rPr>
  </w:style>
  <w:style w:type="paragraph" w:styleId="7">
    <w:name w:val="toc 5"/>
    <w:basedOn w:val="1"/>
    <w:next w:val="1"/>
    <w:uiPriority w:val="0"/>
    <w:pPr>
      <w:ind w:left="840"/>
      <w:jc w:val="left"/>
    </w:pPr>
    <w:rPr>
      <w:sz w:val="20"/>
      <w:szCs w:val="20"/>
    </w:rPr>
  </w:style>
  <w:style w:type="paragraph" w:styleId="8">
    <w:name w:val="toc 3"/>
    <w:basedOn w:val="1"/>
    <w:next w:val="1"/>
    <w:uiPriority w:val="0"/>
    <w:pPr>
      <w:adjustRightInd w:val="0"/>
      <w:snapToGrid w:val="0"/>
      <w:spacing w:line="360" w:lineRule="auto"/>
      <w:ind w:firstLine="400" w:firstLineChars="400"/>
      <w:jc w:val="left"/>
    </w:pPr>
    <w:rPr>
      <w:sz w:val="24"/>
      <w:szCs w:val="20"/>
    </w:rPr>
  </w:style>
  <w:style w:type="paragraph" w:styleId="9">
    <w:name w:val="toc 8"/>
    <w:basedOn w:val="1"/>
    <w:next w:val="1"/>
    <w:uiPriority w:val="0"/>
    <w:pPr>
      <w:ind w:left="1470"/>
      <w:jc w:val="left"/>
    </w:pPr>
    <w:rPr>
      <w:sz w:val="20"/>
      <w:szCs w:val="20"/>
    </w:rPr>
  </w:style>
  <w:style w:type="paragraph" w:styleId="10">
    <w:name w:val="footer"/>
    <w:basedOn w:val="1"/>
    <w:uiPriority w:val="0"/>
    <w:pPr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iPriority w:val="0"/>
    <w:pPr>
      <w:adjustRightInd w:val="0"/>
      <w:snapToGrid w:val="0"/>
      <w:spacing w:line="360" w:lineRule="auto"/>
      <w:jc w:val="left"/>
    </w:pPr>
    <w:rPr>
      <w:b/>
      <w:sz w:val="24"/>
      <w:szCs w:val="20"/>
    </w:rPr>
  </w:style>
  <w:style w:type="paragraph" w:styleId="13">
    <w:name w:val="toc 4"/>
    <w:basedOn w:val="1"/>
    <w:next w:val="1"/>
    <w:uiPriority w:val="0"/>
    <w:pPr>
      <w:ind w:left="630"/>
      <w:jc w:val="left"/>
    </w:pPr>
    <w:rPr>
      <w:sz w:val="20"/>
      <w:szCs w:val="20"/>
    </w:rPr>
  </w:style>
  <w:style w:type="paragraph" w:styleId="14">
    <w:name w:val="toc 6"/>
    <w:basedOn w:val="1"/>
    <w:next w:val="1"/>
    <w:uiPriority w:val="0"/>
    <w:pPr>
      <w:ind w:left="1050"/>
      <w:jc w:val="left"/>
    </w:pPr>
    <w:rPr>
      <w:sz w:val="20"/>
      <w:szCs w:val="20"/>
    </w:rPr>
  </w:style>
  <w:style w:type="paragraph" w:styleId="15">
    <w:name w:val="toc 2"/>
    <w:basedOn w:val="1"/>
    <w:next w:val="1"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iCs/>
      <w:sz w:val="24"/>
      <w:szCs w:val="20"/>
    </w:rPr>
  </w:style>
  <w:style w:type="paragraph" w:styleId="16">
    <w:name w:val="toc 9"/>
    <w:basedOn w:val="1"/>
    <w:next w:val="1"/>
    <w:uiPriority w:val="0"/>
    <w:pPr>
      <w:ind w:left="1680"/>
      <w:jc w:val="left"/>
    </w:pPr>
    <w:rPr>
      <w:sz w:val="20"/>
      <w:szCs w:val="20"/>
    </w:rPr>
  </w:style>
  <w:style w:type="character" w:styleId="19">
    <w:name w:val="page number"/>
    <w:basedOn w:val="18"/>
    <w:uiPriority w:val="0"/>
  </w:style>
  <w:style w:type="character" w:styleId="20">
    <w:name w:val="Hyperlink"/>
    <w:basedOn w:val="18"/>
    <w:uiPriority w:val="0"/>
    <w:rPr>
      <w:color w:val="0000FF"/>
      <w:u w:val="single"/>
    </w:rPr>
  </w:style>
  <w:style w:type="paragraph" w:customStyle="1" w:styleId="21">
    <w:name w:val="Document Map"/>
    <w:basedOn w:val="1"/>
    <w:uiPriority w:val="0"/>
    <w:pPr>
      <w:shd w:val="clear" w:color="auto" w:fill="000080"/>
    </w:pPr>
  </w:style>
  <w:style w:type="paragraph" w:customStyle="1" w:styleId="22">
    <w:name w:val="No Spacing"/>
    <w:uiPriority w:val="0"/>
    <w:pPr>
      <w:ind w:firstLine="200" w:firstLineChars="200"/>
    </w:pPr>
    <w:rPr>
      <w:rFonts w:hint="default" w:ascii="Times New Roman" w:hAnsi="Times New Roman" w:eastAsia="仿宋_GB2312" w:cs="Times New Roman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626</Words>
  <Characters>3572</Characters>
  <Lines>29</Lines>
  <Paragraphs>8</Paragraphs>
  <TotalTime>21</TotalTime>
  <ScaleCrop>false</ScaleCrop>
  <LinksUpToDate>false</LinksUpToDate>
  <CharactersWithSpaces>4190</CharactersWithSpaces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2021-01-06T07:24:00Z</dcterms:created>
  <dc:creator>Administrator</dc:creator>
  <cp:lastModifiedBy>一本正经的胡说八道</cp:lastModifiedBy>
  <dcterms:modified xsi:type="dcterms:W3CDTF">2021-06-25T08:42:38Z</dcterms:modified>
  <dc:title>××年度××部门/单位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D3DFBFF703134597B494D642FA702537</vt:lpwstr>
  </property>
</Properties>
</file>