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D0E15">
      <w:pPr>
        <w:keepNext w:val="0"/>
        <w:keepLines w:val="0"/>
        <w:pageBreakBefore w:val="0"/>
        <w:widowControl w:val="0"/>
        <w:kinsoku/>
        <w:wordWrap/>
        <w:overflowPunct/>
        <w:topLinePunct w:val="0"/>
        <w:autoSpaceDE/>
        <w:autoSpaceDN/>
        <w:bidi w:val="0"/>
        <w:spacing w:line="560" w:lineRule="exact"/>
        <w:ind w:firstLine="0" w:firstLineChars="0"/>
        <w:jc w:val="both"/>
        <w:textAlignment w:val="auto"/>
        <w:rPr>
          <w:rFonts w:hint="eastAsia"/>
          <w:color w:val="auto"/>
          <w:sz w:val="21"/>
        </w:rPr>
      </w:pPr>
      <w:r>
        <w:rPr>
          <w:rFonts w:hint="eastAsia"/>
          <w:color w:val="auto"/>
          <w:sz w:val="21"/>
        </w:rPr>
        <w:t xml:space="preserve">                            </w:t>
      </w:r>
    </w:p>
    <w:p w14:paraId="767B3287">
      <w:pPr>
        <w:keepNext w:val="0"/>
        <w:keepLines w:val="0"/>
        <w:pageBreakBefore w:val="0"/>
        <w:kinsoku/>
        <w:wordWrap/>
        <w:overflowPunct/>
        <w:topLinePunct w:val="0"/>
        <w:autoSpaceDE/>
        <w:autoSpaceDN/>
        <w:bidi w:val="0"/>
        <w:spacing w:line="560" w:lineRule="exact"/>
        <w:ind w:left="0" w:leftChars="0" w:firstLine="0" w:firstLineChars="0"/>
        <w:jc w:val="center"/>
        <w:textAlignment w:val="auto"/>
        <w:rPr>
          <w:rFonts w:hint="eastAsia"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rPr>
        <w:t>退役军人事务局202</w:t>
      </w:r>
      <w:r>
        <w:rPr>
          <w:rFonts w:hint="eastAsia" w:ascii="方正小标宋简体" w:hAnsi="方正小标宋简体" w:eastAsia="方正小标宋简体" w:cs="方正小标宋简体"/>
          <w:b w:val="0"/>
          <w:bCs/>
          <w:color w:val="auto"/>
          <w:sz w:val="44"/>
          <w:szCs w:val="44"/>
          <w:lang w:val="en-US" w:eastAsia="zh-CN"/>
        </w:rPr>
        <w:t>4</w:t>
      </w:r>
      <w:r>
        <w:rPr>
          <w:rFonts w:hint="eastAsia" w:ascii="方正小标宋简体" w:hAnsi="方正小标宋简体" w:eastAsia="方正小标宋简体" w:cs="方正小标宋简体"/>
          <w:b w:val="0"/>
          <w:bCs/>
          <w:color w:val="auto"/>
          <w:sz w:val="44"/>
          <w:szCs w:val="44"/>
        </w:rPr>
        <w:t>年度法治建设情况</w:t>
      </w:r>
      <w:r>
        <w:rPr>
          <w:rFonts w:hint="eastAsia" w:ascii="方正小标宋简体" w:hAnsi="方正小标宋简体" w:eastAsia="方正小标宋简体" w:cs="方正小标宋简体"/>
          <w:b w:val="0"/>
          <w:bCs/>
          <w:color w:val="auto"/>
          <w:sz w:val="44"/>
          <w:szCs w:val="44"/>
          <w:lang w:val="en-US" w:eastAsia="zh-CN"/>
        </w:rPr>
        <w:t>报告</w:t>
      </w:r>
    </w:p>
    <w:p w14:paraId="06AC6657">
      <w:pPr>
        <w:keepNext w:val="0"/>
        <w:keepLines w:val="0"/>
        <w:pageBreakBefore w:val="0"/>
        <w:kinsoku/>
        <w:wordWrap/>
        <w:overflowPunct/>
        <w:topLinePunct w:val="0"/>
        <w:autoSpaceDE/>
        <w:autoSpaceDN/>
        <w:bidi w:val="0"/>
        <w:spacing w:line="560" w:lineRule="exact"/>
        <w:ind w:left="0" w:leftChars="0" w:firstLine="0" w:firstLineChars="0"/>
        <w:jc w:val="both"/>
        <w:textAlignment w:val="auto"/>
        <w:rPr>
          <w:rFonts w:hint="eastAsia" w:ascii="仿宋_GB2312" w:eastAsia="仿宋_GB2312"/>
          <w:color w:val="auto"/>
          <w:sz w:val="32"/>
          <w:szCs w:val="32"/>
          <w:lang w:val="en-US" w:eastAsia="zh-CN"/>
        </w:rPr>
      </w:pPr>
    </w:p>
    <w:p w14:paraId="0187688C">
      <w:pPr>
        <w:keepNext w:val="0"/>
        <w:keepLines w:val="0"/>
        <w:pageBreakBefore w:val="0"/>
        <w:kinsoku/>
        <w:wordWrap/>
        <w:overflowPunct/>
        <w:topLinePunct w:val="0"/>
        <w:autoSpaceDE/>
        <w:autoSpaceDN/>
        <w:bidi w:val="0"/>
        <w:spacing w:line="560" w:lineRule="exact"/>
        <w:ind w:left="0" w:leftChars="0" w:firstLine="0" w:firstLineChars="0"/>
        <w:jc w:val="both"/>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庄河市人民政府：</w:t>
      </w:r>
    </w:p>
    <w:p w14:paraId="7E7E615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按照《庄河市2024年推进法治政府建设十项重点任务》《庄河市贯彻落实〈法治政府建设实施纲要（2021—2025年）〉重要任务举措分工方案》要求，结合本部门工作实际，我局认真抓好法治政府建设工作落实，</w:t>
      </w:r>
      <w:r>
        <w:rPr>
          <w:rFonts w:hint="eastAsia" w:ascii="仿宋_GB2312" w:eastAsia="仿宋_GB2312"/>
          <w:color w:val="auto"/>
          <w:sz w:val="32"/>
          <w:szCs w:val="32"/>
        </w:rPr>
        <w:t>现将</w:t>
      </w:r>
      <w:r>
        <w:rPr>
          <w:rFonts w:hint="eastAsia" w:ascii="仿宋_GB2312" w:eastAsia="仿宋_GB2312"/>
          <w:color w:val="auto"/>
          <w:sz w:val="32"/>
          <w:szCs w:val="32"/>
          <w:lang w:val="en-US" w:eastAsia="zh-CN"/>
        </w:rPr>
        <w:t>有关</w:t>
      </w:r>
      <w:r>
        <w:rPr>
          <w:rFonts w:hint="eastAsia" w:ascii="仿宋_GB2312" w:eastAsia="仿宋_GB2312"/>
          <w:color w:val="auto"/>
          <w:sz w:val="32"/>
          <w:szCs w:val="32"/>
        </w:rPr>
        <w:t>情况报告如下</w:t>
      </w:r>
      <w:r>
        <w:rPr>
          <w:rFonts w:hint="eastAsia" w:ascii="仿宋_GB2312" w:eastAsia="仿宋_GB2312"/>
          <w:color w:val="auto"/>
          <w:sz w:val="32"/>
          <w:szCs w:val="32"/>
          <w:lang w:val="en-US" w:eastAsia="zh-CN"/>
        </w:rPr>
        <w:t>：</w:t>
      </w:r>
    </w:p>
    <w:p w14:paraId="03AA9B02">
      <w:pPr>
        <w:pStyle w:val="2"/>
        <w:keepNext w:val="0"/>
        <w:keepLines w:val="0"/>
        <w:pageBreakBefore w:val="0"/>
        <w:kinsoku/>
        <w:wordWrap/>
        <w:overflowPunct/>
        <w:topLinePunct w:val="0"/>
        <w:autoSpaceDE/>
        <w:autoSpaceDN/>
        <w:bidi w:val="0"/>
        <w:spacing w:line="560" w:lineRule="exact"/>
        <w:ind w:left="0"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一、2024年推进法治政府建设的主要措施和成效</w:t>
      </w:r>
    </w:p>
    <w:p w14:paraId="49F9565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0"/>
        <w:jc w:val="both"/>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强化法治学习，提升法治素养</w:t>
      </w:r>
    </w:p>
    <w:p w14:paraId="1D3D4A89">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b/>
          <w:bCs/>
          <w:color w:val="auto"/>
          <w:sz w:val="32"/>
          <w:szCs w:val="32"/>
          <w:lang w:val="en-US" w:eastAsia="zh-CN"/>
        </w:rPr>
        <w:t>一是坚持领导干部带头学法。</w:t>
      </w:r>
      <w:r>
        <w:rPr>
          <w:rFonts w:hint="eastAsia" w:ascii="仿宋_GB2312" w:eastAsia="仿宋_GB2312" w:cs="Times New Roman"/>
          <w:color w:val="auto"/>
          <w:sz w:val="32"/>
          <w:szCs w:val="32"/>
          <w:lang w:val="en-US" w:eastAsia="zh-CN"/>
        </w:rPr>
        <w:t>将习近平法治思想纳入局党组理论学习中心组学习重点内容，全年</w:t>
      </w:r>
      <w:r>
        <w:rPr>
          <w:rFonts w:hint="eastAsia" w:ascii="仿宋_GB2312" w:hAnsi="仿宋_GB2312" w:eastAsia="仿宋_GB2312" w:cs="仿宋_GB2312"/>
          <w:color w:val="auto"/>
          <w:sz w:val="32"/>
          <w:szCs w:val="32"/>
        </w:rPr>
        <w:t>组织理论中心组学习关于习近平法治思想、党内法规等方面内容2次</w:t>
      </w:r>
      <w:r>
        <w:rPr>
          <w:rFonts w:hint="eastAsia" w:ascii="仿宋_GB2312" w:eastAsia="仿宋_GB2312" w:cs="Times New Roman"/>
          <w:color w:val="auto"/>
          <w:sz w:val="32"/>
          <w:szCs w:val="32"/>
          <w:lang w:val="en-US" w:eastAsia="zh-CN"/>
        </w:rPr>
        <w:t>，深刻领会习近平法治思想的核心要义、精神实质和实践要求。</w:t>
      </w:r>
      <w:r>
        <w:rPr>
          <w:rFonts w:hint="eastAsia" w:ascii="仿宋_GB2312" w:hAnsi="仿宋_GB2312" w:eastAsia="仿宋_GB2312" w:cs="仿宋_GB2312"/>
          <w:b/>
          <w:bCs/>
          <w:color w:val="auto"/>
          <w:sz w:val="32"/>
          <w:szCs w:val="32"/>
          <w:lang w:val="en-US" w:eastAsia="zh-CN"/>
        </w:rPr>
        <w:t>二是加强法制教育培训。</w:t>
      </w:r>
      <w:r>
        <w:rPr>
          <w:rFonts w:hint="eastAsia" w:ascii="仿宋_GB2312" w:eastAsia="仿宋_GB2312" w:cs="Times New Roman"/>
          <w:color w:val="auto"/>
          <w:sz w:val="32"/>
          <w:szCs w:val="32"/>
          <w:lang w:val="en-US" w:eastAsia="zh-CN"/>
        </w:rPr>
        <w:t>制定年度法治教育培训计划，组织全局干部</w:t>
      </w:r>
      <w:r>
        <w:rPr>
          <w:rFonts w:hint="eastAsia" w:ascii="仿宋_GB2312" w:hAnsi="仿宋_GB2312" w:eastAsia="仿宋_GB2312" w:cs="仿宋_GB2312"/>
          <w:color w:val="auto"/>
          <w:sz w:val="32"/>
          <w:szCs w:val="32"/>
        </w:rPr>
        <w:t>开展为期一周的行政执法及退役军人相关法律法规培训</w:t>
      </w:r>
      <w:r>
        <w:rPr>
          <w:rFonts w:hint="eastAsia" w:ascii="仿宋_GB2312" w:eastAsia="仿宋_GB2312" w:cs="Times New Roman"/>
          <w:color w:val="auto"/>
          <w:sz w:val="32"/>
          <w:szCs w:val="32"/>
          <w:lang w:val="en-US" w:eastAsia="zh-CN"/>
        </w:rPr>
        <w:t>，培训内容涵盖宪法、民法典、退役军人保障法、信访工作条例等法律法规，有效提升了干部职工的法治意识和业务水平。</w:t>
      </w:r>
      <w:r>
        <w:rPr>
          <w:rFonts w:hint="eastAsia" w:ascii="仿宋_GB2312" w:eastAsia="仿宋_GB2312" w:cs="Times New Roman"/>
          <w:b/>
          <w:bCs/>
          <w:color w:val="auto"/>
          <w:sz w:val="32"/>
          <w:szCs w:val="32"/>
          <w:lang w:val="en-US" w:eastAsia="zh-CN"/>
        </w:rPr>
        <w:t>三是开展执法资格教育培训。</w:t>
      </w:r>
      <w:r>
        <w:rPr>
          <w:rFonts w:hint="eastAsia" w:ascii="仿宋_GB2312" w:eastAsia="仿宋_GB2312" w:cs="Times New Roman"/>
          <w:color w:val="auto"/>
          <w:sz w:val="32"/>
          <w:szCs w:val="32"/>
          <w:lang w:val="en-US" w:eastAsia="zh-CN"/>
        </w:rPr>
        <w:t>积极鼓励干部职工参加法律职业资格培训，并参加考试，目前已有5名同志取得法律职业资格证书，为法治建设工作提供了人才支撑。</w:t>
      </w:r>
    </w:p>
    <w:p w14:paraId="51264F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（二）严格依法行政，提升服务水平</w:t>
      </w:r>
    </w:p>
    <w:p w14:paraId="161791F1">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仿宋_GB2312" w:eastAsia="仿宋_GB2312" w:cs="Times New Roman"/>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一是强化制度约束。</w:t>
      </w:r>
      <w:r>
        <w:rPr>
          <w:rFonts w:hint="eastAsia" w:ascii="仿宋_GB2312" w:eastAsia="仿宋_GB2312" w:cs="Times New Roman"/>
          <w:color w:val="auto"/>
          <w:sz w:val="32"/>
          <w:szCs w:val="32"/>
          <w:lang w:val="en-US" w:eastAsia="zh-CN"/>
        </w:rPr>
        <w:t>严格落实规范性文件制定程序，</w:t>
      </w:r>
      <w:r>
        <w:rPr>
          <w:rFonts w:hint="eastAsia" w:ascii="仿宋_GB2312" w:eastAsia="仿宋_GB2312"/>
          <w:color w:val="auto"/>
          <w:sz w:val="32"/>
          <w:szCs w:val="32"/>
          <w:lang w:val="en-US" w:eastAsia="zh-CN"/>
        </w:rPr>
        <w:t>年内进一步完善了“三重一大”事项决策制度，</w:t>
      </w:r>
      <w:r>
        <w:rPr>
          <w:rFonts w:hint="eastAsia" w:ascii="仿宋_GB2312" w:eastAsia="仿宋_GB2312"/>
          <w:color w:val="auto"/>
          <w:sz w:val="32"/>
          <w:szCs w:val="32"/>
        </w:rPr>
        <w:t>及时召开党组</w:t>
      </w:r>
      <w:r>
        <w:rPr>
          <w:rFonts w:hint="eastAsia" w:ascii="仿宋_GB2312" w:eastAsia="仿宋_GB2312"/>
          <w:color w:val="auto"/>
          <w:sz w:val="32"/>
          <w:szCs w:val="32"/>
          <w:lang w:eastAsia="zh-CN"/>
        </w:rPr>
        <w:t>会议</w:t>
      </w:r>
      <w:r>
        <w:rPr>
          <w:rFonts w:hint="eastAsia" w:ascii="仿宋_GB2312" w:eastAsia="仿宋_GB2312"/>
          <w:color w:val="auto"/>
          <w:sz w:val="32"/>
          <w:szCs w:val="32"/>
        </w:rPr>
        <w:t>专题研究审议</w:t>
      </w:r>
      <w:r>
        <w:rPr>
          <w:rFonts w:hint="eastAsia" w:ascii="仿宋_GB2312" w:eastAsia="仿宋_GB2312"/>
          <w:color w:val="auto"/>
          <w:sz w:val="32"/>
          <w:szCs w:val="32"/>
          <w:lang w:eastAsia="zh-CN"/>
        </w:rPr>
        <w:t>重大行政决策事项</w:t>
      </w:r>
      <w:r>
        <w:rPr>
          <w:rFonts w:hint="eastAsia" w:ascii="仿宋_GB2312" w:eastAsia="仿宋_GB2312"/>
          <w:color w:val="auto"/>
          <w:sz w:val="32"/>
          <w:szCs w:val="32"/>
        </w:rPr>
        <w:t>，</w:t>
      </w:r>
      <w:r>
        <w:rPr>
          <w:rFonts w:hint="eastAsia" w:ascii="仿宋_GB2312" w:eastAsia="仿宋_GB2312" w:cs="Times New Roman"/>
          <w:color w:val="auto"/>
          <w:sz w:val="32"/>
          <w:szCs w:val="32"/>
          <w:lang w:val="en-US" w:eastAsia="zh-CN"/>
        </w:rPr>
        <w:t>定期对已发布的规范性文件进行清理，及时废止和修订不符合法律法规和政策要求的文件，维护法制统一。2024，我局制定出台党内规范性文件1件，已按规定进行审批、备案。</w:t>
      </w:r>
      <w:r>
        <w:rPr>
          <w:rFonts w:hint="eastAsia" w:ascii="仿宋_GB2312" w:eastAsia="仿宋_GB2312" w:cs="Times New Roman"/>
          <w:b/>
          <w:bCs/>
          <w:color w:val="auto"/>
          <w:sz w:val="32"/>
          <w:szCs w:val="32"/>
          <w:lang w:val="en-US" w:eastAsia="zh-CN"/>
        </w:rPr>
        <w:t>二是依法履行职责。</w:t>
      </w:r>
      <w:r>
        <w:rPr>
          <w:rFonts w:hint="eastAsia" w:ascii="仿宋_GB2312" w:eastAsia="仿宋_GB2312" w:cs="Times New Roman"/>
          <w:color w:val="auto"/>
          <w:sz w:val="32"/>
          <w:szCs w:val="32"/>
          <w:lang w:val="en-US" w:eastAsia="zh-CN"/>
        </w:rPr>
        <w:t>认真贯彻落实退役军人保障法等法律法规，依法做好退役军人接收安置、就业创业、优待抚恤、褒扬纪念等各项工作，切实维护退役军人合法权益。2024年，全市共接收安置退役军人232人，其中符合政府安排工作条件的退役士兵22人，均已妥善安置到位；为8053名优抚对象发放抚恤补助资金6049.91万元，为113名困难退役军人及其他优抚对象提供帮扶援助5.65万元。</w:t>
      </w:r>
      <w:r>
        <w:rPr>
          <w:rFonts w:hint="eastAsia" w:ascii="仿宋_GB2312" w:eastAsia="仿宋_GB2312" w:cs="Times New Roman"/>
          <w:b/>
          <w:bCs/>
          <w:color w:val="auto"/>
          <w:sz w:val="32"/>
          <w:szCs w:val="32"/>
          <w:lang w:val="en-US" w:eastAsia="zh-CN"/>
        </w:rPr>
        <w:t>三是优化政务服务</w:t>
      </w:r>
      <w:r>
        <w:rPr>
          <w:rFonts w:hint="eastAsia" w:ascii="仿宋_GB2312" w:eastAsia="仿宋_GB2312" w:cs="Times New Roman"/>
          <w:color w:val="auto"/>
          <w:sz w:val="32"/>
          <w:szCs w:val="32"/>
          <w:lang w:val="en-US" w:eastAsia="zh-CN"/>
        </w:rPr>
        <w:t>。深入推进“放管服”改革，优化退役军人事务领域政务服务流程，精简办事材料，压缩办理时限，</w:t>
      </w:r>
      <w:r>
        <w:rPr>
          <w:rFonts w:hint="eastAsia" w:ascii="仿宋_GB2312" w:hAnsi="仿宋_GB2312" w:eastAsia="仿宋_GB2312" w:cs="仿宋_GB2312"/>
          <w:color w:val="auto"/>
          <w:sz w:val="32"/>
          <w:szCs w:val="32"/>
          <w:lang w:val="en-US" w:eastAsia="zh-CN"/>
        </w:rPr>
        <w:t>大力推行退役军人“一件事一次办”，对照辽宁省退役军人事务厅统一标准，对退役军人事务权责事项清单18个方面20项内容、办事不找关系路径、合规办事业务指南、违规禁办事项清单、容缺办理事项清单等进一步梳理，重新修订了退役军人领域《办事不找关系指南》和办事工作流程，</w:t>
      </w:r>
      <w:r>
        <w:rPr>
          <w:rFonts w:hint="eastAsia" w:ascii="仿宋_GB2312" w:eastAsia="仿宋_GB2312" w:cs="Times New Roman"/>
          <w:color w:val="auto"/>
          <w:sz w:val="32"/>
          <w:szCs w:val="32"/>
          <w:lang w:val="en-US" w:eastAsia="zh-CN"/>
        </w:rPr>
        <w:t>我局政务服务事项网上可办率达到100%，“最多跑一次”事项占比达到95%以上。</w:t>
      </w:r>
    </w:p>
    <w:p w14:paraId="7E2EE2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（三）加强法治宣传，营造良好氛围</w:t>
      </w:r>
    </w:p>
    <w:p w14:paraId="2D6FC88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在法治宣传工作中，我们积极创新形式、丰富内容，全面推进法律法规普及。</w:t>
      </w:r>
      <w:r>
        <w:rPr>
          <w:rFonts w:hint="eastAsia" w:ascii="仿宋_GB2312" w:hAnsi="仿宋_GB2312" w:eastAsia="仿宋_GB2312" w:cs="仿宋_GB2312"/>
          <w:b/>
          <w:bCs/>
          <w:color w:val="auto"/>
          <w:sz w:val="32"/>
          <w:szCs w:val="32"/>
          <w:lang w:val="en-US" w:eastAsia="zh-CN"/>
        </w:rPr>
        <w:t>一是宣传形式多样化。</w:t>
      </w:r>
      <w:r>
        <w:rPr>
          <w:rFonts w:hint="eastAsia" w:ascii="仿宋_GB2312" w:hAnsi="仿宋_GB2312" w:eastAsia="仿宋_GB2312" w:cs="仿宋_GB2312"/>
          <w:b w:val="0"/>
          <w:bCs w:val="0"/>
          <w:color w:val="auto"/>
          <w:sz w:val="32"/>
          <w:szCs w:val="32"/>
          <w:lang w:val="en-US" w:eastAsia="zh-CN"/>
        </w:rPr>
        <w:t>深入开展法治宣传进社区、进军营、进广场等活动，针对</w:t>
      </w:r>
      <w:r>
        <w:rPr>
          <w:rFonts w:hint="eastAsia" w:ascii="仿宋_GB2312" w:hAnsi="仿宋_GB2312" w:eastAsia="仿宋_GB2312" w:cs="仿宋_GB2312"/>
          <w:i w:val="0"/>
          <w:iCs w:val="0"/>
          <w:caps w:val="0"/>
          <w:color w:val="auto"/>
          <w:spacing w:val="0"/>
          <w:sz w:val="32"/>
          <w:szCs w:val="32"/>
          <w:shd w:val="clear" w:color="auto" w:fill="auto"/>
        </w:rPr>
        <w:t>《中华人民共和国宪法》</w:t>
      </w:r>
      <w:r>
        <w:rPr>
          <w:rFonts w:hint="eastAsia" w:ascii="仿宋_GB2312" w:hAnsi="仿宋_GB2312" w:eastAsia="仿宋_GB2312" w:cs="仿宋_GB2312"/>
          <w:b w:val="0"/>
          <w:bCs w:val="0"/>
          <w:color w:val="auto"/>
          <w:sz w:val="32"/>
          <w:szCs w:val="32"/>
          <w:lang w:val="en-US" w:eastAsia="zh-CN"/>
        </w:rPr>
        <w:t>《中华人民共和国民法典》以及与退役军人和军人权益保障相关的《中华人民共和国退役军人保障法》《中华人民共和国军人地位和权益保障法》《中华人民共和国英雄烈士保护法》等重点法律知识，进行广泛宣传，力求扩大法律知识的社会知晓率，让法治观念深入人心。</w:t>
      </w:r>
      <w:r>
        <w:rPr>
          <w:rFonts w:hint="eastAsia" w:ascii="仿宋_GB2312" w:hAnsi="仿宋_GB2312" w:eastAsia="仿宋_GB2312" w:cs="仿宋_GB2312"/>
          <w:b/>
          <w:bCs/>
          <w:color w:val="auto"/>
          <w:sz w:val="32"/>
          <w:szCs w:val="32"/>
          <w:lang w:val="en-US" w:eastAsia="zh-CN"/>
        </w:rPr>
        <w:t>二是着重开展主题宣传活动。</w:t>
      </w:r>
      <w:r>
        <w:rPr>
          <w:rFonts w:hint="eastAsia" w:ascii="仿宋_GB2312" w:hAnsi="仿宋_GB2312" w:eastAsia="仿宋_GB2312" w:cs="仿宋_GB2312"/>
          <w:b w:val="0"/>
          <w:bCs w:val="0"/>
          <w:color w:val="auto"/>
          <w:sz w:val="32"/>
          <w:szCs w:val="32"/>
          <w:lang w:val="en-US" w:eastAsia="zh-CN"/>
        </w:rPr>
        <w:t>在国家宪法宣传周期间，充分利用普法宣传周、国家宪法日等重要节点，综合运用政策宣讲、现场答疑、法律服务、心理咨询以及发放宣传手册等多种方式，将《中华人民共和国退役军人保障法》的宣传触角延伸至广场、学校、社区、乡村和军营，构建起全方位、多角度、立体式的宣传网络，切实做到宣传有广度，贯彻落实有力度。2024年，局系统累计开展普法宣传活动达12场次，发放各类法规政策宣传资料2000余份，为群众免费解答法律咨询近200人次。</w:t>
      </w:r>
    </w:p>
    <w:p w14:paraId="36D3DA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（四）加强纠纷化解，维护社会稳定</w:t>
      </w:r>
    </w:p>
    <w:p w14:paraId="0B076408">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b/>
          <w:bCs/>
          <w:color w:val="auto"/>
          <w:sz w:val="32"/>
          <w:szCs w:val="32"/>
        </w:rPr>
        <w:t>依法处理信访事项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认真贯彻落实信访工作条例，建立健全信访工作制度，规范信访办理程序，及时受理、转办、交办退役军人信访事项，做到件件有回音、事事有着落。加强信访矛盾排查化解，对重点信访问题实行领导包案、专班推进，综合运用法律、政策、经济、行政等手段，妥善解决退役军人合理诉求，有效维护了退役军人合法权益和社会稳定。</w:t>
      </w:r>
      <w:r>
        <w:rPr>
          <w:rFonts w:hint="eastAsia" w:ascii="仿宋_GB2312" w:hAnsi="仿宋_GB2312" w:eastAsia="仿宋_GB2312" w:cs="仿宋_GB2312"/>
          <w:color w:val="auto"/>
          <w:sz w:val="32"/>
          <w:szCs w:val="32"/>
          <w:lang w:val="en-US" w:eastAsia="zh-CN"/>
        </w:rPr>
        <w:t>2024年</w:t>
      </w:r>
      <w:r>
        <w:rPr>
          <w:rFonts w:hint="eastAsia" w:ascii="仿宋_GB2312" w:hAnsi="仿宋_GB2312" w:eastAsia="仿宋_GB2312" w:cs="仿宋_GB2312"/>
          <w:color w:val="auto"/>
          <w:sz w:val="32"/>
          <w:szCs w:val="32"/>
        </w:rPr>
        <w:t>，全市共受理退役军人信访事项</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件，办结率达到</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bCs/>
          <w:color w:val="auto"/>
          <w:sz w:val="32"/>
          <w:szCs w:val="32"/>
          <w:lang w:val="en-US" w:eastAsia="zh-CN"/>
        </w:rPr>
        <w:t>二是重视法制审核。</w:t>
      </w:r>
      <w:r>
        <w:rPr>
          <w:rFonts w:hint="eastAsia" w:ascii="仿宋_GB2312" w:hAnsi="仿宋_GB2312" w:eastAsia="仿宋_GB2312" w:cs="仿宋_GB2312"/>
          <w:color w:val="auto"/>
          <w:sz w:val="32"/>
          <w:szCs w:val="32"/>
          <w:lang w:eastAsia="zh-CN"/>
        </w:rPr>
        <w:t>注意发挥法律顾问在法制审核中的作用，在</w:t>
      </w:r>
      <w:r>
        <w:rPr>
          <w:rFonts w:hint="eastAsia" w:ascii="仿宋_GB2312" w:hAnsi="仿宋_GB2312" w:eastAsia="仿宋_GB2312" w:cs="仿宋_GB2312"/>
          <w:color w:val="auto"/>
          <w:sz w:val="32"/>
          <w:szCs w:val="32"/>
        </w:rPr>
        <w:t>我局处理一些棘手的矛盾纠纷、做出重大决策时，给予了专业的法律指导，有效规避了法律风险，解决了一部分法律政策不明朗，界限不清晰的历史遗留“老大难”问题。2024年，张玉宝为我局2起行政行为提供了法律意见，为3起信访案件提供了法律服务，处置了2起非诉法律事务。</w:t>
      </w:r>
    </w:p>
    <w:p w14:paraId="74E374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w:t>
      </w:r>
      <w:r>
        <w:rPr>
          <w:rFonts w:hint="default" w:ascii="黑体" w:hAnsi="黑体" w:eastAsia="黑体" w:cs="黑体"/>
          <w:color w:val="auto"/>
          <w:kern w:val="0"/>
          <w:sz w:val="32"/>
          <w:szCs w:val="32"/>
          <w:lang w:val="en-US" w:eastAsia="zh-CN" w:bidi="ar-SA"/>
        </w:rPr>
        <w:t>存在的问题</w:t>
      </w:r>
    </w:p>
    <w:p w14:paraId="16AE926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黑体" w:hAnsi="黑体" w:eastAsia="黑体" w:cs="黑体"/>
          <w:color w:val="auto"/>
          <w:kern w:val="0"/>
          <w:sz w:val="32"/>
          <w:szCs w:val="32"/>
          <w:lang w:val="en-US" w:eastAsia="zh-CN" w:bidi="ar-SA"/>
        </w:rPr>
      </w:pP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年，在</w:t>
      </w:r>
      <w:r>
        <w:rPr>
          <w:rFonts w:hint="eastAsia" w:ascii="仿宋_GB2312" w:hAnsi="仿宋_GB2312" w:eastAsia="仿宋_GB2312" w:cs="仿宋_GB2312"/>
          <w:color w:val="auto"/>
          <w:sz w:val="32"/>
          <w:szCs w:val="32"/>
          <w:lang w:eastAsia="zh-CN"/>
        </w:rPr>
        <w:t>市委、市政府</w:t>
      </w:r>
      <w:r>
        <w:rPr>
          <w:rFonts w:hint="eastAsia" w:ascii="仿宋_GB2312" w:hAnsi="仿宋_GB2312" w:eastAsia="仿宋_GB2312" w:cs="仿宋_GB2312"/>
          <w:color w:val="auto"/>
          <w:sz w:val="32"/>
          <w:szCs w:val="32"/>
        </w:rPr>
        <w:t>的正确领导下，在上级</w:t>
      </w:r>
      <w:r>
        <w:rPr>
          <w:rFonts w:hint="eastAsia" w:ascii="仿宋_GB2312" w:hAnsi="仿宋_GB2312" w:eastAsia="仿宋_GB2312" w:cs="仿宋_GB2312"/>
          <w:color w:val="auto"/>
          <w:sz w:val="32"/>
          <w:szCs w:val="32"/>
          <w:lang w:val="en-US" w:eastAsia="zh-CN"/>
        </w:rPr>
        <w:t>市委法治办的有力</w:t>
      </w:r>
      <w:r>
        <w:rPr>
          <w:rFonts w:hint="eastAsia" w:ascii="仿宋_GB2312" w:hAnsi="仿宋_GB2312" w:eastAsia="仿宋_GB2312" w:cs="仿宋_GB2312"/>
          <w:color w:val="auto"/>
          <w:sz w:val="32"/>
          <w:szCs w:val="32"/>
        </w:rPr>
        <w:t>指导下，我局推进</w:t>
      </w:r>
      <w:r>
        <w:rPr>
          <w:rFonts w:hint="eastAsia" w:ascii="仿宋_GB2312" w:hAnsi="仿宋_GB2312" w:eastAsia="仿宋_GB2312" w:cs="仿宋_GB2312"/>
          <w:color w:val="auto"/>
          <w:sz w:val="32"/>
          <w:szCs w:val="32"/>
          <w:lang w:eastAsia="zh-CN"/>
        </w:rPr>
        <w:t>法治政府建设</w:t>
      </w:r>
      <w:r>
        <w:rPr>
          <w:rFonts w:hint="eastAsia" w:ascii="仿宋_GB2312" w:hAnsi="仿宋_GB2312" w:eastAsia="仿宋_GB2312" w:cs="仿宋_GB2312"/>
          <w:color w:val="auto"/>
          <w:sz w:val="32"/>
          <w:szCs w:val="32"/>
        </w:rPr>
        <w:t>工作取得了初步成效，法治建设得到有效推进，但也还存在一些问题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主要表现在：</w:t>
      </w:r>
    </w:p>
    <w:p w14:paraId="455D23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楷体_GB2312" w:hAnsi="楷体_GB2312" w:eastAsia="楷体_GB2312" w:cs="楷体_GB2312"/>
          <w:color w:val="auto"/>
          <w:sz w:val="32"/>
          <w:szCs w:val="32"/>
          <w:lang w:val="en-US" w:eastAsia="zh-CN"/>
        </w:rPr>
      </w:pPr>
      <w:r>
        <w:rPr>
          <w:rFonts w:hint="default" w:ascii="楷体_GB2312" w:hAnsi="楷体_GB2312" w:eastAsia="楷体_GB2312" w:cs="楷体_GB2312"/>
          <w:color w:val="auto"/>
          <w:sz w:val="32"/>
          <w:szCs w:val="32"/>
          <w:lang w:val="en-US" w:eastAsia="zh-CN"/>
        </w:rPr>
        <w:t>（一）法治宣传教育的针对性和实效性有待进一步提高</w:t>
      </w:r>
    </w:p>
    <w:p w14:paraId="219EDE3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楷体_GB2312" w:hAnsi="楷体_GB2312" w:eastAsia="楷体_GB2312" w:cs="楷体_GB2312"/>
          <w:color w:val="auto"/>
          <w:sz w:val="32"/>
          <w:szCs w:val="32"/>
          <w:lang w:val="en-US" w:eastAsia="zh-CN"/>
        </w:rPr>
      </w:pPr>
      <w:r>
        <w:rPr>
          <w:rFonts w:hint="default" w:ascii="仿宋_GB2312" w:hAnsi="仿宋_GB2312" w:eastAsia="仿宋_GB2312" w:cs="仿宋_GB2312"/>
          <w:color w:val="auto"/>
          <w:sz w:val="32"/>
          <w:szCs w:val="32"/>
          <w:lang w:val="en-US" w:eastAsia="zh-CN"/>
        </w:rPr>
        <w:t>法治宣传活动形式</w:t>
      </w:r>
      <w:r>
        <w:rPr>
          <w:rFonts w:hint="eastAsia" w:ascii="仿宋_GB2312" w:hAnsi="仿宋_GB2312" w:eastAsia="仿宋_GB2312" w:cs="仿宋_GB2312"/>
          <w:color w:val="auto"/>
          <w:sz w:val="32"/>
          <w:szCs w:val="32"/>
          <w:lang w:val="en-US" w:eastAsia="zh-CN"/>
        </w:rPr>
        <w:t>仍需进一步创新</w:t>
      </w:r>
      <w:r>
        <w:rPr>
          <w:rFonts w:hint="default" w:ascii="仿宋_GB2312" w:hAnsi="仿宋_GB2312" w:eastAsia="仿宋_GB2312" w:cs="仿宋_GB2312"/>
          <w:color w:val="auto"/>
          <w:sz w:val="32"/>
          <w:szCs w:val="32"/>
          <w:lang w:val="en-US" w:eastAsia="zh-CN"/>
        </w:rPr>
        <w:t>，内容不够贴近退役军人实际需求，导致部分退役军人对法律法规的知晓度和理解度还不够高。</w:t>
      </w:r>
      <w:r>
        <w:rPr>
          <w:rFonts w:hint="default" w:ascii="楷体_GB2312" w:hAnsi="楷体_GB2312" w:eastAsia="楷体_GB2312" w:cs="楷体_GB2312"/>
          <w:color w:val="auto"/>
          <w:sz w:val="32"/>
          <w:szCs w:val="32"/>
          <w:lang w:val="en-US" w:eastAsia="zh-CN"/>
        </w:rPr>
        <w:t xml:space="preserve"> </w:t>
      </w:r>
    </w:p>
    <w:p w14:paraId="53C3D4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楷体_GB2312" w:hAnsi="楷体_GB2312" w:eastAsia="楷体_GB2312" w:cs="楷体_GB2312"/>
          <w:color w:val="auto"/>
          <w:sz w:val="32"/>
          <w:szCs w:val="32"/>
          <w:lang w:val="en-US" w:eastAsia="zh-CN"/>
        </w:rPr>
      </w:pPr>
      <w:r>
        <w:rPr>
          <w:rFonts w:hint="default" w:ascii="楷体_GB2312" w:hAnsi="楷体_GB2312" w:eastAsia="楷体_GB2312" w:cs="楷体_GB2312"/>
          <w:color w:val="auto"/>
          <w:sz w:val="32"/>
          <w:szCs w:val="32"/>
          <w:lang w:val="en-US" w:eastAsia="zh-CN"/>
        </w:rPr>
        <w:t>（二）法治建设工作协调机制还不够完善</w:t>
      </w:r>
    </w:p>
    <w:p w14:paraId="2AFA237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退役军人事务涉及多个部门，在法治建设工作中，部门之间的沟通协调还不够紧密，存在工作衔接不畅、信息共享不及时等问题。</w:t>
      </w:r>
    </w:p>
    <w:p w14:paraId="4B8204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三、</w:t>
      </w:r>
      <w:r>
        <w:rPr>
          <w:rFonts w:hint="eastAsia" w:ascii="黑体" w:hAnsi="黑体" w:eastAsia="黑体" w:cs="黑体"/>
          <w:color w:val="auto"/>
          <w:sz w:val="32"/>
          <w:szCs w:val="32"/>
          <w:lang w:val="en-US" w:eastAsia="zh-CN"/>
        </w:rPr>
        <w:t>2024年党政主要责任人履行推进法治建设第一责任人职责，加强法治政府建设的有关情况</w:t>
      </w:r>
    </w:p>
    <w:p w14:paraId="251ADEE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ascii="仿宋_GB2312" w:eastAsia="仿宋_GB2312"/>
          <w:color w:val="auto"/>
          <w:sz w:val="32"/>
          <w:szCs w:val="32"/>
        </w:rPr>
      </w:pPr>
      <w:r>
        <w:rPr>
          <w:rFonts w:hint="eastAsia" w:ascii="仿宋_GB2312" w:eastAsia="仿宋_GB2312"/>
          <w:color w:val="auto"/>
          <w:sz w:val="32"/>
          <w:szCs w:val="32"/>
        </w:rPr>
        <w:t>局党组书记</w:t>
      </w:r>
      <w:r>
        <w:rPr>
          <w:rFonts w:hint="eastAsia" w:ascii="仿宋_GB2312" w:eastAsia="仿宋_GB2312"/>
          <w:color w:val="auto"/>
          <w:sz w:val="32"/>
          <w:szCs w:val="32"/>
          <w:lang w:eastAsia="zh-CN"/>
        </w:rPr>
        <w:t>切实</w:t>
      </w:r>
      <w:r>
        <w:rPr>
          <w:rFonts w:hint="eastAsia" w:ascii="仿宋_GB2312" w:eastAsia="仿宋_GB2312"/>
          <w:color w:val="auto"/>
          <w:sz w:val="32"/>
          <w:szCs w:val="32"/>
        </w:rPr>
        <w:t>履行法治政府建设第一责任人职责，</w:t>
      </w:r>
      <w:r>
        <w:rPr>
          <w:rFonts w:hint="eastAsia" w:ascii="仿宋_GB2312" w:eastAsia="仿宋_GB2312"/>
          <w:color w:val="auto"/>
          <w:sz w:val="32"/>
          <w:szCs w:val="32"/>
          <w:lang w:eastAsia="zh-CN"/>
        </w:rPr>
        <w:t>带头学法用法，将习近平法治思想和相关法律法规纳入党组理论中心组学习，</w:t>
      </w:r>
      <w:r>
        <w:rPr>
          <w:rFonts w:hint="eastAsia" w:ascii="仿宋_GB2312" w:eastAsia="仿宋_GB2312"/>
          <w:color w:val="auto"/>
          <w:sz w:val="32"/>
          <w:szCs w:val="32"/>
          <w:lang w:val="en-US" w:eastAsia="zh-CN"/>
        </w:rPr>
        <w:t>组织</w:t>
      </w:r>
      <w:r>
        <w:rPr>
          <w:rFonts w:hint="eastAsia" w:ascii="仿宋_GB2312" w:eastAsia="仿宋_GB2312"/>
          <w:color w:val="auto"/>
          <w:sz w:val="32"/>
          <w:szCs w:val="32"/>
          <w:lang w:eastAsia="zh-CN"/>
        </w:rPr>
        <w:t>开展习近平法治思想宣讲和培训，</w:t>
      </w:r>
      <w:r>
        <w:rPr>
          <w:rFonts w:hint="eastAsia" w:ascii="仿宋_GB2312" w:eastAsia="仿宋_GB2312"/>
          <w:color w:val="auto"/>
          <w:sz w:val="32"/>
          <w:szCs w:val="32"/>
        </w:rPr>
        <w:t>督促班子成员、</w:t>
      </w:r>
      <w:r>
        <w:rPr>
          <w:rFonts w:hint="eastAsia" w:ascii="仿宋_GB2312" w:eastAsia="仿宋_GB2312"/>
          <w:color w:val="auto"/>
          <w:sz w:val="32"/>
          <w:szCs w:val="32"/>
          <w:lang w:eastAsia="zh-CN"/>
        </w:rPr>
        <w:t>局系统工作人员跟进学习，不断提升法治意识和依法行政能力。组织</w:t>
      </w:r>
      <w:r>
        <w:rPr>
          <w:rFonts w:hint="eastAsia" w:ascii="仿宋_GB2312" w:hAnsi="Times New Roman" w:eastAsia="仿宋_GB2312" w:cs="仿宋_GB2312"/>
          <w:color w:val="auto"/>
          <w:sz w:val="32"/>
          <w:szCs w:val="32"/>
        </w:rPr>
        <w:t>开展国家宪法日宣誓活动和机关事业单位人员庭审旁听活动</w:t>
      </w:r>
      <w:r>
        <w:rPr>
          <w:rFonts w:hint="eastAsia" w:ascii="仿宋_GB2312" w:eastAsia="仿宋_GB2312" w:cs="仿宋_GB2312"/>
          <w:color w:val="auto"/>
          <w:sz w:val="32"/>
          <w:szCs w:val="32"/>
          <w:lang w:eastAsia="zh-CN"/>
        </w:rPr>
        <w:t>，</w:t>
      </w:r>
      <w:r>
        <w:rPr>
          <w:rFonts w:hint="eastAsia" w:ascii="仿宋_GB2312" w:eastAsia="仿宋_GB2312"/>
          <w:color w:val="auto"/>
          <w:sz w:val="32"/>
          <w:szCs w:val="32"/>
        </w:rPr>
        <w:t>将履行推进法治建设责任和法治政府建设具体情况等内容纳入领导干部年终述职报告，扎实开展述法活动，全面提升依法行政水平。</w:t>
      </w:r>
    </w:p>
    <w:p w14:paraId="1B4A5DB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四、2025</w:t>
      </w:r>
      <w:r>
        <w:rPr>
          <w:rFonts w:hint="eastAsia" w:ascii="黑体" w:hAnsi="黑体" w:eastAsia="黑体" w:cs="黑体"/>
          <w:color w:val="auto"/>
          <w:sz w:val="32"/>
          <w:szCs w:val="32"/>
        </w:rPr>
        <w:t>年</w:t>
      </w:r>
      <w:r>
        <w:rPr>
          <w:rFonts w:hint="eastAsia" w:ascii="黑体" w:hAnsi="黑体" w:eastAsia="黑体" w:cs="黑体"/>
          <w:color w:val="auto"/>
          <w:sz w:val="32"/>
          <w:szCs w:val="32"/>
          <w:lang w:eastAsia="zh-CN"/>
        </w:rPr>
        <w:t>推进法治政府</w:t>
      </w:r>
      <w:r>
        <w:rPr>
          <w:rFonts w:hint="eastAsia" w:ascii="黑体" w:hAnsi="黑体" w:eastAsia="黑体" w:cs="黑体"/>
          <w:color w:val="auto"/>
          <w:sz w:val="32"/>
          <w:szCs w:val="32"/>
          <w:lang w:val="en-US" w:eastAsia="zh-CN"/>
        </w:rPr>
        <w:t>建设</w:t>
      </w:r>
      <w:r>
        <w:rPr>
          <w:rFonts w:hint="eastAsia" w:ascii="黑体" w:hAnsi="黑体" w:eastAsia="黑体" w:cs="黑体"/>
          <w:color w:val="auto"/>
          <w:sz w:val="32"/>
          <w:szCs w:val="32"/>
          <w:lang w:eastAsia="zh-CN"/>
        </w:rPr>
        <w:t>的主要</w:t>
      </w:r>
      <w:r>
        <w:rPr>
          <w:rFonts w:hint="eastAsia" w:ascii="黑体" w:hAnsi="黑体" w:eastAsia="黑体" w:cs="黑体"/>
          <w:color w:val="auto"/>
          <w:sz w:val="32"/>
          <w:szCs w:val="32"/>
        </w:rPr>
        <w:t>安排</w:t>
      </w:r>
    </w:p>
    <w:p w14:paraId="1126ED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（一）加强组织领导。</w:t>
      </w:r>
      <w:r>
        <w:rPr>
          <w:rFonts w:hint="eastAsia" w:ascii="仿宋_GB2312" w:hAnsi="仿宋_GB2312" w:eastAsia="仿宋_GB2312" w:cs="仿宋_GB2312"/>
          <w:color w:val="auto"/>
          <w:sz w:val="32"/>
          <w:szCs w:val="32"/>
          <w:lang w:val="en-US" w:eastAsia="zh-CN"/>
        </w:rPr>
        <w:t>抓好领导干部这个“关键少数”。领导干部带头学法、守法、用法，有计划开展学习，明确学习方式和主要内容，通过局党组会议、理论中心组学习、专题讲座等形式，坚持学习贯彻党的二十大精神和习近平总书记关于全面依法治国系列重要论述，学习宪法和退役军人相关的法律法规。</w:t>
      </w:r>
    </w:p>
    <w:p w14:paraId="452E24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eastAsia="仿宋_GB2312" w:cs="Times New Roman"/>
          <w:color w:val="auto"/>
          <w:sz w:val="32"/>
          <w:szCs w:val="32"/>
          <w:lang w:eastAsia="zh-CN"/>
        </w:rPr>
      </w:pPr>
      <w:r>
        <w:rPr>
          <w:rFonts w:hint="eastAsia" w:ascii="楷体_GB2312" w:hAnsi="楷体_GB2312" w:eastAsia="楷体_GB2312" w:cs="楷体_GB2312"/>
          <w:color w:val="auto"/>
          <w:sz w:val="32"/>
          <w:szCs w:val="32"/>
          <w:lang w:val="en-US" w:eastAsia="zh-CN"/>
        </w:rPr>
        <w:t>（二）持续加强法治宣传教育。</w:t>
      </w:r>
      <w:r>
        <w:rPr>
          <w:rFonts w:hint="eastAsia" w:ascii="仿宋_GB2312" w:eastAsia="仿宋_GB2312" w:cs="Times New Roman"/>
          <w:color w:val="auto"/>
          <w:sz w:val="32"/>
          <w:szCs w:val="32"/>
          <w:lang w:eastAsia="zh-CN"/>
        </w:rPr>
        <w:t>创新法治宣传教育方式</w:t>
      </w:r>
    </w:p>
    <w:p w14:paraId="1607D4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jc w:val="both"/>
        <w:textAlignment w:val="auto"/>
        <w:rPr>
          <w:rFonts w:hint="eastAsia" w:ascii="仿宋_GB2312" w:eastAsia="仿宋_GB2312" w:cs="Times New Roman"/>
          <w:color w:val="auto"/>
          <w:sz w:val="32"/>
          <w:szCs w:val="32"/>
          <w:lang w:eastAsia="zh-CN"/>
        </w:rPr>
      </w:pPr>
      <w:r>
        <w:rPr>
          <w:rFonts w:hint="eastAsia" w:ascii="仿宋_GB2312" w:eastAsia="仿宋_GB2312" w:cs="Times New Roman"/>
          <w:color w:val="auto"/>
          <w:sz w:val="32"/>
          <w:szCs w:val="32"/>
          <w:lang w:eastAsia="zh-CN"/>
        </w:rPr>
        <w:t xml:space="preserve">方法，增强宣传教育的针对性和实效性。结合退役军人工作特点和实际需求，开展个性化、精准化的法治宣传活动，提高退役军人对法律法规的知晓率和运用能力。加强新媒体平台在法治宣传教育中的运用，制作更多形式新颖、内容丰富的法治宣传产品，扩大法治宣传教育的覆盖面和影响力。 </w:t>
      </w:r>
    </w:p>
    <w:p w14:paraId="0692349A">
      <w:pPr>
        <w:keepNext w:val="0"/>
        <w:keepLines w:val="0"/>
        <w:pageBreakBefore w:val="0"/>
        <w:kinsoku/>
        <w:wordWrap/>
        <w:overflowPunct/>
        <w:topLinePunct w:val="0"/>
        <w:autoSpaceDE/>
        <w:autoSpaceDN/>
        <w:bidi w:val="0"/>
        <w:spacing w:line="560" w:lineRule="exact"/>
        <w:ind w:left="0" w:firstLine="640" w:firstLineChars="200"/>
        <w:jc w:val="both"/>
        <w:textAlignment w:val="auto"/>
        <w:rPr>
          <w:rFonts w:hint="eastAsia"/>
          <w:color w:val="auto"/>
          <w:sz w:val="32"/>
          <w:szCs w:val="32"/>
        </w:rPr>
      </w:pPr>
      <w:r>
        <w:rPr>
          <w:rFonts w:hint="eastAsia" w:ascii="楷体_GB2312" w:hAnsi="楷体_GB2312" w:eastAsia="楷体_GB2312" w:cs="楷体_GB2312"/>
          <w:color w:val="auto"/>
          <w:sz w:val="32"/>
          <w:szCs w:val="32"/>
          <w:lang w:val="en-US" w:eastAsia="zh-CN"/>
        </w:rPr>
        <w:t>（三）不断提升行政执法能力和水平</w:t>
      </w:r>
      <w:r>
        <w:rPr>
          <w:rFonts w:hint="eastAsia"/>
          <w:color w:val="auto"/>
          <w:sz w:val="32"/>
          <w:szCs w:val="32"/>
          <w:lang w:eastAsia="zh-CN"/>
        </w:rPr>
        <w:t>。</w:t>
      </w:r>
      <w:r>
        <w:rPr>
          <w:rFonts w:hint="eastAsia" w:ascii="仿宋_GB2312" w:eastAsia="仿宋_GB2312" w:cs="Times New Roman"/>
          <w:color w:val="auto"/>
          <w:sz w:val="32"/>
          <w:szCs w:val="32"/>
          <w:lang w:eastAsia="zh-CN"/>
        </w:rPr>
        <w:t>加强行政执法人员业务培训，定期组织开展法律法规和执法业务知识学习，</w:t>
      </w:r>
      <w:r>
        <w:rPr>
          <w:rFonts w:hint="eastAsia" w:ascii="仿宋_GB2312" w:eastAsia="仿宋_GB2312" w:cs="Times New Roman"/>
          <w:color w:val="auto"/>
          <w:sz w:val="32"/>
          <w:szCs w:val="32"/>
          <w:lang w:val="en-US" w:eastAsia="zh-CN"/>
        </w:rPr>
        <w:t>通过线上、线下培训相结合的</w:t>
      </w:r>
      <w:r>
        <w:rPr>
          <w:rFonts w:hint="eastAsia" w:ascii="仿宋_GB2312" w:eastAsia="仿宋_GB2312" w:cs="Times New Roman"/>
          <w:color w:val="auto"/>
          <w:sz w:val="32"/>
          <w:szCs w:val="32"/>
          <w:lang w:eastAsia="zh-CN"/>
        </w:rPr>
        <w:t>方式，不断提高执法人员的业务能力和执法水平。加强行政执法监督检查，及时发现和纠正执法过程中存在的问题，确保行政执法行为合法规范。</w:t>
      </w:r>
    </w:p>
    <w:p w14:paraId="5CA8BBD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 xml:space="preserve">                  </w:t>
      </w:r>
    </w:p>
    <w:p w14:paraId="776C8FC4">
      <w:pPr>
        <w:pStyle w:val="2"/>
        <w:keepNext w:val="0"/>
        <w:keepLines w:val="0"/>
        <w:pageBreakBefore w:val="0"/>
        <w:kinsoku/>
        <w:wordWrap/>
        <w:overflowPunct/>
        <w:topLinePunct w:val="0"/>
        <w:autoSpaceDE/>
        <w:autoSpaceDN/>
        <w:bidi w:val="0"/>
        <w:spacing w:line="560" w:lineRule="exact"/>
        <w:jc w:val="both"/>
        <w:textAlignment w:val="auto"/>
        <w:rPr>
          <w:rFonts w:hint="eastAsia"/>
          <w:color w:val="auto"/>
          <w:lang w:val="en-US" w:eastAsia="zh-CN"/>
        </w:rPr>
      </w:pPr>
    </w:p>
    <w:p w14:paraId="4B1296F4">
      <w:pPr>
        <w:keepNext w:val="0"/>
        <w:keepLines w:val="0"/>
        <w:pageBreakBefore w:val="0"/>
        <w:widowControl/>
        <w:kinsoku/>
        <w:wordWrap/>
        <w:overflowPunct/>
        <w:topLinePunct w:val="0"/>
        <w:autoSpaceDE/>
        <w:autoSpaceDN/>
        <w:bidi w:val="0"/>
        <w:spacing w:line="560" w:lineRule="exact"/>
        <w:ind w:left="0" w:firstLine="3200" w:firstLineChars="1000"/>
        <w:jc w:val="right"/>
        <w:textAlignment w:val="auto"/>
        <w:rPr>
          <w:rFonts w:hint="default" w:ascii="仿宋_GB2312" w:hAnsi="仿宋_GB2312" w:eastAsia="仿宋_GB2312" w:cs="仿宋_GB2312"/>
          <w:color w:val="auto"/>
          <w:sz w:val="32"/>
          <w:szCs w:val="32"/>
          <w:lang w:val="en-US" w:eastAsia="zh-CN"/>
        </w:rPr>
      </w:pPr>
      <w:bookmarkStart w:id="0" w:name="_GoBack"/>
      <w:bookmarkEnd w:id="0"/>
      <w:r>
        <w:rPr>
          <w:rFonts w:hint="eastAsia" w:ascii="仿宋_GB2312" w:hAnsi="仿宋_GB2312" w:eastAsia="仿宋_GB2312" w:cs="仿宋_GB2312"/>
          <w:color w:val="auto"/>
          <w:sz w:val="32"/>
          <w:szCs w:val="32"/>
          <w:lang w:val="en-US" w:eastAsia="zh-CN"/>
        </w:rPr>
        <w:t>中共庄河市退役军人事务局党组</w:t>
      </w:r>
    </w:p>
    <w:p w14:paraId="61175705">
      <w:pPr>
        <w:keepNext w:val="0"/>
        <w:keepLines w:val="0"/>
        <w:pageBreakBefore w:val="0"/>
        <w:widowControl/>
        <w:kinsoku/>
        <w:wordWrap/>
        <w:overflowPunct/>
        <w:topLinePunct w:val="0"/>
        <w:autoSpaceDE/>
        <w:autoSpaceDN/>
        <w:bidi w:val="0"/>
        <w:adjustRightInd w:val="0"/>
        <w:snapToGrid w:val="0"/>
        <w:spacing w:line="560" w:lineRule="exact"/>
        <w:ind w:lef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2025年2月27日</w:t>
      </w:r>
    </w:p>
    <w:p w14:paraId="67174068">
      <w:pPr>
        <w:pStyle w:val="2"/>
        <w:rPr>
          <w:rFonts w:hint="eastAsia" w:ascii="仿宋_GB2312" w:hAnsi="仿宋_GB2312" w:eastAsia="仿宋_GB2312" w:cs="仿宋_GB2312"/>
          <w:color w:val="auto"/>
          <w:sz w:val="32"/>
          <w:szCs w:val="32"/>
          <w:lang w:val="en-US" w:eastAsia="zh-CN"/>
        </w:rPr>
      </w:pPr>
    </w:p>
    <w:p w14:paraId="4E26F56C">
      <w:pPr>
        <w:pStyle w:val="2"/>
        <w:rPr>
          <w:rFonts w:hint="eastAsia" w:ascii="仿宋_GB2312" w:hAnsi="仿宋_GB2312" w:eastAsia="仿宋_GB2312" w:cs="仿宋_GB2312"/>
          <w:color w:val="auto"/>
          <w:sz w:val="32"/>
          <w:szCs w:val="32"/>
          <w:lang w:val="en-US" w:eastAsia="zh-CN"/>
        </w:rPr>
      </w:pPr>
    </w:p>
    <w:p w14:paraId="1E586F05">
      <w:pPr>
        <w:pStyle w:val="2"/>
        <w:spacing w:line="240" w:lineRule="auto"/>
        <w:rPr>
          <w:rFonts w:hint="eastAsia" w:ascii="仿宋_GB2312" w:hAnsi="仿宋_GB2312" w:eastAsia="仿宋_GB2312" w:cs="仿宋_GB2312"/>
          <w:color w:val="auto"/>
          <w:sz w:val="32"/>
          <w:szCs w:val="32"/>
          <w:lang w:val="en-US" w:eastAsia="zh-CN"/>
        </w:rPr>
      </w:pPr>
    </w:p>
    <w:p w14:paraId="4BBC87BC">
      <w:pPr>
        <w:pStyle w:val="2"/>
        <w:rPr>
          <w:rFonts w:hint="eastAsia" w:ascii="仿宋_GB2312" w:hAnsi="仿宋_GB2312" w:eastAsia="仿宋_GB2312" w:cs="仿宋_GB2312"/>
          <w:color w:val="auto"/>
          <w:sz w:val="32"/>
          <w:szCs w:val="32"/>
          <w:lang w:val="en-US" w:eastAsia="zh-CN"/>
        </w:rPr>
      </w:pPr>
    </w:p>
    <w:p w14:paraId="600D13FD">
      <w:pPr>
        <w:pStyle w:val="10"/>
        <w:keepNext w:val="0"/>
        <w:keepLines w:val="0"/>
        <w:pageBreakBefore w:val="0"/>
        <w:widowControl w:val="0"/>
        <w:kinsoku/>
        <w:wordWrap/>
        <w:overflowPunct/>
        <w:topLinePunct w:val="0"/>
        <w:autoSpaceDE/>
        <w:autoSpaceDN/>
        <w:bidi w:val="0"/>
        <w:adjustRightInd/>
        <w:snapToGrid w:val="0"/>
        <w:spacing w:before="10" w:after="20" w:line="20" w:lineRule="exact"/>
        <w:textAlignment w:val="auto"/>
        <w:rPr>
          <w:color w:val="auto"/>
          <w:sz w:val="10"/>
          <w:szCs w:val="10"/>
        </w:rPr>
      </w:pPr>
    </w:p>
    <w:p w14:paraId="6252C144">
      <w:pPr>
        <w:pStyle w:val="10"/>
        <w:keepNext w:val="0"/>
        <w:keepLines w:val="0"/>
        <w:pageBreakBefore w:val="0"/>
        <w:widowControl w:val="0"/>
        <w:kinsoku/>
        <w:wordWrap/>
        <w:overflowPunct/>
        <w:topLinePunct w:val="0"/>
        <w:autoSpaceDE/>
        <w:autoSpaceDN/>
        <w:bidi w:val="0"/>
        <w:adjustRightInd/>
        <w:snapToGrid w:val="0"/>
        <w:spacing w:before="10" w:after="20" w:line="20" w:lineRule="exact"/>
        <w:textAlignment w:val="auto"/>
        <w:rPr>
          <w:color w:val="auto"/>
          <w:sz w:val="10"/>
          <w:szCs w:val="10"/>
        </w:rPr>
      </w:pPr>
    </w:p>
    <w:p w14:paraId="27D004B8">
      <w:pPr>
        <w:pStyle w:val="10"/>
        <w:keepNext w:val="0"/>
        <w:keepLines w:val="0"/>
        <w:pageBreakBefore w:val="0"/>
        <w:widowControl w:val="0"/>
        <w:kinsoku/>
        <w:wordWrap/>
        <w:overflowPunct/>
        <w:topLinePunct w:val="0"/>
        <w:autoSpaceDE/>
        <w:autoSpaceDN/>
        <w:bidi w:val="0"/>
        <w:adjustRightInd/>
        <w:snapToGrid w:val="0"/>
        <w:spacing w:before="10" w:after="20" w:line="20" w:lineRule="exact"/>
        <w:textAlignment w:val="auto"/>
        <w:rPr>
          <w:color w:val="auto"/>
          <w:sz w:val="10"/>
          <w:szCs w:val="10"/>
        </w:rPr>
      </w:pPr>
    </w:p>
    <w:sectPr>
      <w:headerReference r:id="rId7" w:type="first"/>
      <w:footerReference r:id="rId10" w:type="first"/>
      <w:headerReference r:id="rId5" w:type="default"/>
      <w:footerReference r:id="rId8" w:type="default"/>
      <w:headerReference r:id="rId6" w:type="even"/>
      <w:footerReference r:id="rId9" w:type="even"/>
      <w:pgSz w:w="11906" w:h="16838"/>
      <w:pgMar w:top="2211" w:right="1531" w:bottom="1871" w:left="1531" w:header="851" w:footer="992" w:gutter="0"/>
      <w:pgBorders>
        <w:top w:val="none" w:sz="0" w:space="0"/>
        <w:left w:val="none" w:sz="0" w:space="0"/>
        <w:bottom w:val="none" w:sz="0" w:space="0"/>
        <w:right w:val="none" w:sz="0" w:space="0"/>
      </w:pgBorders>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96138">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-443865</wp:posOffset>
              </wp:positionV>
              <wp:extent cx="596900" cy="238760"/>
              <wp:effectExtent l="0" t="0" r="0" b="0"/>
              <wp:wrapNone/>
              <wp:docPr id="4" name="文本框 3"/>
              <wp:cNvGraphicFramePr/>
              <a:graphic xmlns:a="http://schemas.openxmlformats.org/drawingml/2006/main">
                <a:graphicData uri="http://schemas.microsoft.com/office/word/2010/wordprocessingShape">
                  <wps:wsp>
                    <wps:cNvSpPr txBox="1"/>
                    <wps:spPr>
                      <a:xfrm>
                        <a:off x="0" y="0"/>
                        <a:ext cx="596900" cy="238760"/>
                      </a:xfrm>
                      <a:prstGeom prst="rect">
                        <a:avLst/>
                      </a:prstGeom>
                      <a:noFill/>
                      <a:ln w="6350">
                        <a:noFill/>
                      </a:ln>
                      <a:effectLst/>
                    </wps:spPr>
                    <wps:txbx>
                      <w:txbxContent>
                        <w:p w14:paraId="4D85D933">
                          <w:pPr>
                            <w:pStyle w:val="9"/>
                            <w:ind w:left="0" w:leftChars="0" w:firstLine="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  \* MERGEFORMAT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文本框 3" o:spid="_x0000_s1026" o:spt="202" type="#_x0000_t202" style="position:absolute;left:0pt;margin-top:-34.95pt;height:18.8pt;width:47pt;mso-position-horizontal:outside;mso-position-horizontal-relative:margin;z-index:251659264;mso-width-relative:page;mso-height-relative:page;" filled="f" stroked="f" coordsize="21600,21600" o:gfxdata="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37aZKNYAAAAHAQAADwAAAAAAAAABACAAAAAiAAAAZHJz&#10;L2Rvd25yZXYueG1sUEsBAhQAFAAAAAgAh07iQJpY3XE/AgAAbwQAAA4AAAAAAAAAAQAgAAAAJQEA&#10;AGRycy9lMm9Eb2MueG1sUEsFBgAAAAAGAAYAWQEAANYFAAAAAA==&#10;">
              <v:fill on="f" focussize="0,0"/>
              <v:stroke on="f" weight="0.5pt"/>
              <v:imagedata o:title=""/>
              <o:lock v:ext="edit" aspectratio="f"/>
              <v:textbox inset="0mm,0mm,0mm,0mm">
                <w:txbxContent>
                  <w:p w14:paraId="4D85D933">
                    <w:pPr>
                      <w:pStyle w:val="9"/>
                      <w:ind w:left="0" w:leftChars="0" w:firstLine="0" w:firstLineChars="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  \* MERGEFORMAT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D90BE">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EFA8C">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B5FD8">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1BCB9">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4F315">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B07BEE"/>
    <w:multiLevelType w:val="singleLevel"/>
    <w:tmpl w:val="1AB07BEE"/>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3ZDdiN2U0YjA1ZTk5NmFkOTc5OGI4NmZhNGU5M2IifQ=="/>
  </w:docVars>
  <w:rsids>
    <w:rsidRoot w:val="700833B1"/>
    <w:rsid w:val="00015636"/>
    <w:rsid w:val="00027EFD"/>
    <w:rsid w:val="00051F7F"/>
    <w:rsid w:val="00094D11"/>
    <w:rsid w:val="000B07DD"/>
    <w:rsid w:val="00152B9F"/>
    <w:rsid w:val="00155958"/>
    <w:rsid w:val="001634CA"/>
    <w:rsid w:val="001C0B05"/>
    <w:rsid w:val="002007C8"/>
    <w:rsid w:val="00203227"/>
    <w:rsid w:val="00204A0A"/>
    <w:rsid w:val="00221844"/>
    <w:rsid w:val="00234C0B"/>
    <w:rsid w:val="002414B6"/>
    <w:rsid w:val="002863E1"/>
    <w:rsid w:val="002972A3"/>
    <w:rsid w:val="002A19D2"/>
    <w:rsid w:val="002D2C16"/>
    <w:rsid w:val="002E083D"/>
    <w:rsid w:val="003228F3"/>
    <w:rsid w:val="00325888"/>
    <w:rsid w:val="00350F2E"/>
    <w:rsid w:val="00384CC0"/>
    <w:rsid w:val="00471503"/>
    <w:rsid w:val="004A0457"/>
    <w:rsid w:val="004B202F"/>
    <w:rsid w:val="004C0044"/>
    <w:rsid w:val="004F5005"/>
    <w:rsid w:val="0052712D"/>
    <w:rsid w:val="00535F41"/>
    <w:rsid w:val="00551EC8"/>
    <w:rsid w:val="005735A8"/>
    <w:rsid w:val="005926F7"/>
    <w:rsid w:val="00617900"/>
    <w:rsid w:val="00627E81"/>
    <w:rsid w:val="00655F9F"/>
    <w:rsid w:val="006739A5"/>
    <w:rsid w:val="00696340"/>
    <w:rsid w:val="006A1208"/>
    <w:rsid w:val="006A773D"/>
    <w:rsid w:val="006D6A39"/>
    <w:rsid w:val="006D722A"/>
    <w:rsid w:val="006F7078"/>
    <w:rsid w:val="00716225"/>
    <w:rsid w:val="007213FF"/>
    <w:rsid w:val="00724082"/>
    <w:rsid w:val="00741D87"/>
    <w:rsid w:val="008555C6"/>
    <w:rsid w:val="00860658"/>
    <w:rsid w:val="008A3F1D"/>
    <w:rsid w:val="008C0142"/>
    <w:rsid w:val="008C64ED"/>
    <w:rsid w:val="0099043B"/>
    <w:rsid w:val="00A113A7"/>
    <w:rsid w:val="00A15D91"/>
    <w:rsid w:val="00A55E79"/>
    <w:rsid w:val="00AA4770"/>
    <w:rsid w:val="00AB1E80"/>
    <w:rsid w:val="00AF2DC3"/>
    <w:rsid w:val="00B16C98"/>
    <w:rsid w:val="00B26CB5"/>
    <w:rsid w:val="00B91733"/>
    <w:rsid w:val="00BA1F48"/>
    <w:rsid w:val="00BF3012"/>
    <w:rsid w:val="00BF6A0E"/>
    <w:rsid w:val="00CD4155"/>
    <w:rsid w:val="00D351F7"/>
    <w:rsid w:val="00D64071"/>
    <w:rsid w:val="00E032EA"/>
    <w:rsid w:val="00EC0FAF"/>
    <w:rsid w:val="00EC3A17"/>
    <w:rsid w:val="00EC5DAA"/>
    <w:rsid w:val="00F34073"/>
    <w:rsid w:val="00F67C1D"/>
    <w:rsid w:val="00F87483"/>
    <w:rsid w:val="00FD4AA4"/>
    <w:rsid w:val="02857772"/>
    <w:rsid w:val="029F039B"/>
    <w:rsid w:val="03A60FDF"/>
    <w:rsid w:val="04B5207B"/>
    <w:rsid w:val="05ED7A22"/>
    <w:rsid w:val="07116889"/>
    <w:rsid w:val="07273DD6"/>
    <w:rsid w:val="072E2DC2"/>
    <w:rsid w:val="0B176AAA"/>
    <w:rsid w:val="0B6E2CCD"/>
    <w:rsid w:val="0BF44A21"/>
    <w:rsid w:val="0C12090D"/>
    <w:rsid w:val="0CD07339"/>
    <w:rsid w:val="0DF21A72"/>
    <w:rsid w:val="0EEE2841"/>
    <w:rsid w:val="10480EC0"/>
    <w:rsid w:val="106906E1"/>
    <w:rsid w:val="109D7477"/>
    <w:rsid w:val="11640E72"/>
    <w:rsid w:val="11661904"/>
    <w:rsid w:val="119309BD"/>
    <w:rsid w:val="121255AA"/>
    <w:rsid w:val="12244B90"/>
    <w:rsid w:val="12D32389"/>
    <w:rsid w:val="13537C89"/>
    <w:rsid w:val="139C56E1"/>
    <w:rsid w:val="14426979"/>
    <w:rsid w:val="14E95FF9"/>
    <w:rsid w:val="16785013"/>
    <w:rsid w:val="16AE7001"/>
    <w:rsid w:val="180341F7"/>
    <w:rsid w:val="18CA6DC0"/>
    <w:rsid w:val="192759D1"/>
    <w:rsid w:val="19441EB3"/>
    <w:rsid w:val="19BE4AEE"/>
    <w:rsid w:val="1A111EB7"/>
    <w:rsid w:val="1A952194"/>
    <w:rsid w:val="1AE26739"/>
    <w:rsid w:val="1BEF693F"/>
    <w:rsid w:val="1C085913"/>
    <w:rsid w:val="1D0620FD"/>
    <w:rsid w:val="1D1F0069"/>
    <w:rsid w:val="1D602A0B"/>
    <w:rsid w:val="1F446F23"/>
    <w:rsid w:val="1F4B3CD7"/>
    <w:rsid w:val="1FCF37EC"/>
    <w:rsid w:val="20612C06"/>
    <w:rsid w:val="21790575"/>
    <w:rsid w:val="2212400E"/>
    <w:rsid w:val="223E6115"/>
    <w:rsid w:val="22C2108B"/>
    <w:rsid w:val="22E82FF1"/>
    <w:rsid w:val="23D753AD"/>
    <w:rsid w:val="242C44F3"/>
    <w:rsid w:val="24F136AD"/>
    <w:rsid w:val="25BB52C0"/>
    <w:rsid w:val="25E776AE"/>
    <w:rsid w:val="263C53D2"/>
    <w:rsid w:val="26B57542"/>
    <w:rsid w:val="273B298C"/>
    <w:rsid w:val="27715BD8"/>
    <w:rsid w:val="27A81989"/>
    <w:rsid w:val="28323BAF"/>
    <w:rsid w:val="283A5A3F"/>
    <w:rsid w:val="288D1CA3"/>
    <w:rsid w:val="28BB08AD"/>
    <w:rsid w:val="294C19BC"/>
    <w:rsid w:val="29FF4F10"/>
    <w:rsid w:val="2ABA695B"/>
    <w:rsid w:val="2B59616A"/>
    <w:rsid w:val="2BD83461"/>
    <w:rsid w:val="2C343479"/>
    <w:rsid w:val="2CAE501A"/>
    <w:rsid w:val="2D3B7477"/>
    <w:rsid w:val="2E894DD6"/>
    <w:rsid w:val="2ECC1113"/>
    <w:rsid w:val="2F586440"/>
    <w:rsid w:val="2FF24B8A"/>
    <w:rsid w:val="30AE32A4"/>
    <w:rsid w:val="30EF0CD6"/>
    <w:rsid w:val="324B6B5D"/>
    <w:rsid w:val="32717403"/>
    <w:rsid w:val="33067C7C"/>
    <w:rsid w:val="33801026"/>
    <w:rsid w:val="33880E0F"/>
    <w:rsid w:val="34E11255"/>
    <w:rsid w:val="358C2E7C"/>
    <w:rsid w:val="35DF25F3"/>
    <w:rsid w:val="362D510D"/>
    <w:rsid w:val="3659481A"/>
    <w:rsid w:val="36B1666C"/>
    <w:rsid w:val="36E064BB"/>
    <w:rsid w:val="36F73319"/>
    <w:rsid w:val="39401F80"/>
    <w:rsid w:val="39F9214C"/>
    <w:rsid w:val="3BA240FD"/>
    <w:rsid w:val="3C261F92"/>
    <w:rsid w:val="3CAD1B67"/>
    <w:rsid w:val="3F7557E9"/>
    <w:rsid w:val="3FB653F3"/>
    <w:rsid w:val="3FC91CB2"/>
    <w:rsid w:val="3FD01188"/>
    <w:rsid w:val="40355819"/>
    <w:rsid w:val="406F6367"/>
    <w:rsid w:val="41660A2A"/>
    <w:rsid w:val="42930E26"/>
    <w:rsid w:val="43302817"/>
    <w:rsid w:val="448B5306"/>
    <w:rsid w:val="44997A72"/>
    <w:rsid w:val="44A11EB8"/>
    <w:rsid w:val="451E5801"/>
    <w:rsid w:val="452008F8"/>
    <w:rsid w:val="45E0735E"/>
    <w:rsid w:val="468662AC"/>
    <w:rsid w:val="484A7E3A"/>
    <w:rsid w:val="48A2204C"/>
    <w:rsid w:val="4931148F"/>
    <w:rsid w:val="4A9F2102"/>
    <w:rsid w:val="4D266D6B"/>
    <w:rsid w:val="4E32779E"/>
    <w:rsid w:val="4E9430DA"/>
    <w:rsid w:val="4F1E0CBC"/>
    <w:rsid w:val="50F02C40"/>
    <w:rsid w:val="516A6A8F"/>
    <w:rsid w:val="51F7178E"/>
    <w:rsid w:val="52B62A47"/>
    <w:rsid w:val="53782C7B"/>
    <w:rsid w:val="554F3FC1"/>
    <w:rsid w:val="5661051E"/>
    <w:rsid w:val="56766416"/>
    <w:rsid w:val="56F66ACA"/>
    <w:rsid w:val="57CD76AA"/>
    <w:rsid w:val="57E5321A"/>
    <w:rsid w:val="586E07E1"/>
    <w:rsid w:val="59CE0EA3"/>
    <w:rsid w:val="5A341EDB"/>
    <w:rsid w:val="5A396BC9"/>
    <w:rsid w:val="5A571362"/>
    <w:rsid w:val="5AB3548C"/>
    <w:rsid w:val="5C72233A"/>
    <w:rsid w:val="5CFA55F1"/>
    <w:rsid w:val="5D731EF7"/>
    <w:rsid w:val="5E532A95"/>
    <w:rsid w:val="5EA71706"/>
    <w:rsid w:val="5F062266"/>
    <w:rsid w:val="5F4F1645"/>
    <w:rsid w:val="5F52429B"/>
    <w:rsid w:val="5FA24B72"/>
    <w:rsid w:val="61325B9F"/>
    <w:rsid w:val="617D3E1A"/>
    <w:rsid w:val="62967E86"/>
    <w:rsid w:val="63214608"/>
    <w:rsid w:val="63A27614"/>
    <w:rsid w:val="63D143D3"/>
    <w:rsid w:val="64DB52BA"/>
    <w:rsid w:val="65523092"/>
    <w:rsid w:val="65A93D94"/>
    <w:rsid w:val="66603356"/>
    <w:rsid w:val="66B14728"/>
    <w:rsid w:val="67B611F7"/>
    <w:rsid w:val="682406A1"/>
    <w:rsid w:val="68391D25"/>
    <w:rsid w:val="685F4BB8"/>
    <w:rsid w:val="6B2D1FE5"/>
    <w:rsid w:val="6E0F1D4C"/>
    <w:rsid w:val="6E677189"/>
    <w:rsid w:val="6E8F13F1"/>
    <w:rsid w:val="6E983B71"/>
    <w:rsid w:val="6ED60A73"/>
    <w:rsid w:val="6EEF0916"/>
    <w:rsid w:val="6F9430ED"/>
    <w:rsid w:val="6FCE71A2"/>
    <w:rsid w:val="6FDC63B8"/>
    <w:rsid w:val="700833B1"/>
    <w:rsid w:val="701F21C1"/>
    <w:rsid w:val="702D6B62"/>
    <w:rsid w:val="706D512F"/>
    <w:rsid w:val="70940CE9"/>
    <w:rsid w:val="70C8281B"/>
    <w:rsid w:val="713C5703"/>
    <w:rsid w:val="71670AC0"/>
    <w:rsid w:val="717A0DD6"/>
    <w:rsid w:val="71F61655"/>
    <w:rsid w:val="73E62B55"/>
    <w:rsid w:val="73ED2E68"/>
    <w:rsid w:val="74BF0C9E"/>
    <w:rsid w:val="75A04A4A"/>
    <w:rsid w:val="765379D8"/>
    <w:rsid w:val="766201D3"/>
    <w:rsid w:val="76F96652"/>
    <w:rsid w:val="771F39AF"/>
    <w:rsid w:val="774C10F0"/>
    <w:rsid w:val="777A6BF7"/>
    <w:rsid w:val="77A23DA1"/>
    <w:rsid w:val="77F479A6"/>
    <w:rsid w:val="786A0FBE"/>
    <w:rsid w:val="78F05EC0"/>
    <w:rsid w:val="79642AC0"/>
    <w:rsid w:val="79B971AD"/>
    <w:rsid w:val="7A0F5325"/>
    <w:rsid w:val="7A187AFB"/>
    <w:rsid w:val="7CB5047A"/>
    <w:rsid w:val="7D364DD5"/>
    <w:rsid w:val="7DE954B0"/>
    <w:rsid w:val="7ED534EC"/>
    <w:rsid w:val="7EED4F73"/>
    <w:rsid w:val="7F7FE270"/>
    <w:rsid w:val="7FC748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ind w:firstLine="21" w:firstLineChars="200"/>
    </w:pPr>
    <w:rPr>
      <w:rFonts w:ascii="Times New Roman" w:hAnsi="Times New Roman" w:eastAsia="宋体" w:cs="Times New Roman"/>
      <w:lang w:val="en-US" w:eastAsia="zh-CN" w:bidi="ar-SA"/>
    </w:rPr>
  </w:style>
  <w:style w:type="paragraph" w:styleId="3">
    <w:name w:val="heading 1"/>
    <w:basedOn w:val="1"/>
    <w:next w:val="1"/>
    <w:autoRedefine/>
    <w:qFormat/>
    <w:uiPriority w:val="9"/>
    <w:pPr>
      <w:spacing w:after="100" w:afterAutospacing="1"/>
      <w:jc w:val="center"/>
      <w:outlineLvl w:val="0"/>
    </w:pPr>
    <w:rPr>
      <w:rFonts w:hint="eastAsia" w:ascii="宋体" w:hAnsi="宋体"/>
      <w:b/>
      <w:kern w:val="44"/>
      <w:sz w:val="44"/>
      <w:szCs w:val="48"/>
    </w:rPr>
  </w:style>
  <w:style w:type="paragraph" w:styleId="4">
    <w:name w:val="heading 2"/>
    <w:basedOn w:val="1"/>
    <w:next w:val="1"/>
    <w:autoRedefine/>
    <w:qFormat/>
    <w:uiPriority w:val="0"/>
    <w:pPr>
      <w:spacing w:line="400" w:lineRule="exact"/>
      <w:outlineLvl w:val="1"/>
    </w:pPr>
    <w:rPr>
      <w:rFonts w:hAnsi="宋体"/>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spacing w:line="360" w:lineRule="atLeast"/>
      <w:jc w:val="both"/>
    </w:pPr>
    <w:rPr>
      <w:rFonts w:hint="eastAsia" w:ascii="Arial Unicode MS" w:hAnsi="Arial Unicode MS" w:eastAsia="Arial Unicode MS" w:cs="Arial Unicode MS"/>
      <w:color w:val="000000"/>
      <w:sz w:val="24"/>
      <w:szCs w:val="24"/>
      <w:lang w:val="en-US" w:eastAsia="zh-CN" w:bidi="ar-SA"/>
    </w:rPr>
  </w:style>
  <w:style w:type="paragraph" w:styleId="5">
    <w:name w:val="Normal Indent"/>
    <w:basedOn w:val="1"/>
    <w:next w:val="1"/>
    <w:autoRedefine/>
    <w:unhideWhenUsed/>
    <w:qFormat/>
    <w:uiPriority w:val="0"/>
    <w:pPr>
      <w:ind w:firstLine="420"/>
    </w:pPr>
    <w:rPr>
      <w:rFonts w:ascii="Calibri" w:hAnsi="Calibri"/>
    </w:rPr>
  </w:style>
  <w:style w:type="paragraph" w:styleId="6">
    <w:name w:val="Body Text Indent"/>
    <w:basedOn w:val="1"/>
    <w:next w:val="5"/>
    <w:autoRedefine/>
    <w:qFormat/>
    <w:uiPriority w:val="0"/>
    <w:pPr>
      <w:spacing w:after="120"/>
      <w:ind w:left="420" w:leftChars="200"/>
    </w:pPr>
  </w:style>
  <w:style w:type="paragraph" w:styleId="7">
    <w:name w:val="Plain Text"/>
    <w:basedOn w:val="1"/>
    <w:autoRedefine/>
    <w:qFormat/>
    <w:uiPriority w:val="0"/>
    <w:rPr>
      <w:rFonts w:ascii="宋体" w:hAnsi="Courier New" w:eastAsia="微软雅黑" w:cs="Courier New"/>
      <w:szCs w:val="21"/>
    </w:rPr>
  </w:style>
  <w:style w:type="paragraph" w:styleId="8">
    <w:name w:val="Date"/>
    <w:basedOn w:val="1"/>
    <w:next w:val="1"/>
    <w:link w:val="20"/>
    <w:autoRedefine/>
    <w:qFormat/>
    <w:uiPriority w:val="0"/>
    <w:pPr>
      <w:ind w:left="100" w:leftChars="2500"/>
    </w:pPr>
  </w:style>
  <w:style w:type="paragraph" w:styleId="9">
    <w:name w:val="footer"/>
    <w:basedOn w:val="1"/>
    <w:link w:val="21"/>
    <w:autoRedefine/>
    <w:qFormat/>
    <w:uiPriority w:val="99"/>
    <w:pPr>
      <w:tabs>
        <w:tab w:val="center" w:pos="4153"/>
        <w:tab w:val="right" w:pos="8306"/>
      </w:tabs>
      <w:snapToGrid w:val="0"/>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1">
    <w:name w:val="Normal (Web)"/>
    <w:basedOn w:val="1"/>
    <w:autoRedefine/>
    <w:qFormat/>
    <w:uiPriority w:val="0"/>
    <w:pPr>
      <w:spacing w:before="100" w:beforeAutospacing="1" w:after="100" w:afterAutospacing="1"/>
    </w:pPr>
    <w:rPr>
      <w:sz w:val="24"/>
    </w:rPr>
  </w:style>
  <w:style w:type="paragraph" w:styleId="12">
    <w:name w:val="Body Text First Indent 2"/>
    <w:basedOn w:val="6"/>
    <w:autoRedefine/>
    <w:unhideWhenUsed/>
    <w:qFormat/>
    <w:uiPriority w:val="99"/>
    <w:pPr>
      <w:ind w:firstLine="420" w:firstLineChars="200"/>
    </w:pPr>
    <w:rPr>
      <w:rFonts w:ascii="等线" w:hAnsi="等线" w:eastAsia="等线" w:cs="黑体"/>
      <w:szCs w:val="22"/>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22"/>
    <w:rPr>
      <w:b/>
      <w:bCs/>
    </w:rPr>
  </w:style>
  <w:style w:type="character" w:styleId="17">
    <w:name w:val="page number"/>
    <w:basedOn w:val="15"/>
    <w:autoRedefine/>
    <w:qFormat/>
    <w:uiPriority w:val="0"/>
  </w:style>
  <w:style w:type="character" w:styleId="18">
    <w:name w:val="Hyperlink"/>
    <w:basedOn w:val="15"/>
    <w:autoRedefine/>
    <w:semiHidden/>
    <w:qFormat/>
    <w:uiPriority w:val="99"/>
    <w:rPr>
      <w:color w:val="0000FF"/>
      <w:u w:val="single"/>
    </w:rPr>
  </w:style>
  <w:style w:type="paragraph" w:customStyle="1" w:styleId="19">
    <w:name w:val="vsbcontent_start"/>
    <w:basedOn w:val="1"/>
    <w:autoRedefine/>
    <w:qFormat/>
    <w:uiPriority w:val="99"/>
    <w:pPr>
      <w:widowControl/>
      <w:spacing w:before="100" w:beforeAutospacing="1" w:after="100" w:afterAutospacing="1"/>
    </w:pPr>
    <w:rPr>
      <w:rFonts w:ascii="宋体" w:hAnsi="宋体" w:cs="宋体"/>
      <w:sz w:val="24"/>
      <w:szCs w:val="24"/>
    </w:rPr>
  </w:style>
  <w:style w:type="character" w:customStyle="1" w:styleId="20">
    <w:name w:val="日期 Char"/>
    <w:basedOn w:val="15"/>
    <w:link w:val="8"/>
    <w:autoRedefine/>
    <w:qFormat/>
    <w:uiPriority w:val="0"/>
    <w:rPr>
      <w:rFonts w:ascii="Times New Roman" w:hAnsi="Times New Roman"/>
    </w:rPr>
  </w:style>
  <w:style w:type="character" w:customStyle="1" w:styleId="21">
    <w:name w:val="页脚 Char"/>
    <w:basedOn w:val="15"/>
    <w:link w:val="9"/>
    <w:autoRedefine/>
    <w:qFormat/>
    <w:uiPriority w:val="99"/>
    <w:rPr>
      <w:rFonts w:ascii="Times New Roman" w:hAnsi="Times New Roman"/>
      <w:sz w:val="18"/>
    </w:rPr>
  </w:style>
  <w:style w:type="paragraph" w:customStyle="1" w:styleId="22">
    <w:name w:val="Body Text First Indent 21"/>
    <w:basedOn w:val="1"/>
    <w:autoRedefine/>
    <w:qFormat/>
    <w:uiPriority w:val="0"/>
    <w:pPr>
      <w:spacing w:before="100" w:beforeAutospacing="1" w:after="120"/>
      <w:ind w:left="200" w:leftChars="200" w:firstLine="420"/>
    </w:pPr>
    <w:rPr>
      <w:rFonts w:ascii="仿宋_GB2312" w:cs="宋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2691</Words>
  <Characters>2768</Characters>
  <Lines>1</Lines>
  <Paragraphs>15</Paragraphs>
  <TotalTime>18</TotalTime>
  <ScaleCrop>false</ScaleCrop>
  <LinksUpToDate>false</LinksUpToDate>
  <CharactersWithSpaces>2848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2022-01-28T09:43:00Z</dcterms:created>
  <dc:creator>Administrator</dc:creator>
  <cp:lastModifiedBy>gf</cp:lastModifiedBy>
  <cp:lastPrinted>2024-01-23T06:46:00Z</cp:lastPrinted>
  <dcterms:modified xsi:type="dcterms:W3CDTF">2025-03-28T06:03:21Z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9D0BD4EC0FE34412B066BEB9FBEF3BC2_13</vt:lpwstr>
  </property>
  <property fmtid="{D5CDD505-2E9C-101B-9397-08002B2CF9AE}" pid="4" name="KSOTemplateDocerSaveRecord">
    <vt:lpwstr>eyJoZGlkIjoiZjJlYTA2ZmUzZDNhMzc0YzE5YWU5YTM1MGY5MWI5N2QifQ==</vt:lpwstr>
  </property>
</Properties>
</file>