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B5FF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rPr>
      </w:pPr>
      <w:bookmarkStart w:id="0" w:name="_GoBack"/>
      <w:bookmarkEnd w:id="0"/>
      <w:r>
        <w:rPr>
          <w:rFonts w:hint="eastAsia" w:ascii="方正小标宋简体" w:hAnsi="方正小标宋简体" w:eastAsia="方正小标宋简体" w:cs="方正小标宋简体"/>
          <w:color w:val="auto"/>
          <w:sz w:val="44"/>
          <w:szCs w:val="44"/>
        </w:rPr>
        <w:t>庄河市</w:t>
      </w:r>
      <w:r>
        <w:rPr>
          <w:rFonts w:hint="eastAsia" w:ascii="方正小标宋简体" w:hAnsi="方正小标宋简体" w:eastAsia="方正小标宋简体" w:cs="方正小标宋简体"/>
          <w:color w:val="auto"/>
          <w:sz w:val="44"/>
          <w:szCs w:val="44"/>
          <w:lang w:val="en-US" w:eastAsia="zh-CN"/>
        </w:rPr>
        <w:t>统计</w:t>
      </w:r>
      <w:r>
        <w:rPr>
          <w:rFonts w:hint="eastAsia" w:ascii="方正小标宋简体" w:hAnsi="方正小标宋简体" w:eastAsia="方正小标宋简体" w:cs="方正小标宋简体"/>
          <w:color w:val="auto"/>
          <w:sz w:val="44"/>
          <w:szCs w:val="44"/>
        </w:rPr>
        <w:t>局关于202</w:t>
      </w:r>
      <w:r>
        <w:rPr>
          <w:rFonts w:hint="eastAsia" w:ascii="方正小标宋简体" w:hAnsi="方正小标宋简体" w:eastAsia="方正小标宋简体" w:cs="方正小标宋简体"/>
          <w:color w:val="auto"/>
          <w:sz w:val="44"/>
          <w:szCs w:val="44"/>
          <w:lang w:val="en-US" w:eastAsia="zh-CN"/>
        </w:rPr>
        <w:t>4</w:t>
      </w:r>
      <w:r>
        <w:rPr>
          <w:rFonts w:hint="eastAsia" w:ascii="方正小标宋简体" w:hAnsi="方正小标宋简体" w:eastAsia="方正小标宋简体" w:cs="方正小标宋简体"/>
          <w:color w:val="auto"/>
          <w:sz w:val="44"/>
          <w:szCs w:val="44"/>
        </w:rPr>
        <w:t>年法治政府</w:t>
      </w:r>
    </w:p>
    <w:p w14:paraId="77409F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建设情况的报告</w:t>
      </w:r>
    </w:p>
    <w:p w14:paraId="12A207C5">
      <w:pPr>
        <w:pStyle w:val="2"/>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olor w:val="auto"/>
          <w:sz w:val="32"/>
          <w:szCs w:val="32"/>
        </w:rPr>
      </w:pPr>
    </w:p>
    <w:p w14:paraId="27DED1C9">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ascii="仿宋_GB2312" w:eastAsia="仿宋_GB2312"/>
          <w:color w:val="auto"/>
          <w:sz w:val="32"/>
          <w:szCs w:val="32"/>
        </w:rPr>
      </w:pPr>
      <w:r>
        <w:rPr>
          <w:rFonts w:hint="eastAsia" w:ascii="仿宋_GB2312" w:hAnsi="仿宋_GB2312" w:eastAsia="仿宋_GB2312" w:cs="仿宋_GB2312"/>
          <w:color w:val="auto"/>
          <w:sz w:val="32"/>
          <w:szCs w:val="32"/>
        </w:rPr>
        <w:t>中共庄河市委、庄河市人民政府：</w:t>
      </w:r>
    </w:p>
    <w:p w14:paraId="37E4FA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highlight w:val="none"/>
          <w:lang w:val="en-US" w:eastAsia="zh-CN"/>
        </w:rPr>
        <w:t>2024年，市统计局坚持以习近平新时代中国特色社会主义思想为指导，深入学习贯彻党的二十大和二十届三中全会精神、习近平法治思想，紧紧围绕市委、市政府决策部署和统计系统法治建设任务，学法用法普法，深入推进依法行政，全面建设法治政府，不断将统计法治工作走深走实。现将2024年法治政府建设情况报告如下：</w:t>
      </w:r>
    </w:p>
    <w:p w14:paraId="733584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rPr>
        <w:t>一、202</w:t>
      </w:r>
      <w:r>
        <w:rPr>
          <w:rFonts w:hint="eastAsia" w:ascii="黑体" w:hAnsi="黑体" w:eastAsia="黑体" w:cs="黑体"/>
          <w:color w:val="auto"/>
          <w:sz w:val="32"/>
          <w:szCs w:val="32"/>
          <w:lang w:val="en-US" w:eastAsia="zh-CN"/>
        </w:rPr>
        <w:t>4</w:t>
      </w:r>
      <w:r>
        <w:rPr>
          <w:rFonts w:hint="eastAsia" w:ascii="黑体" w:hAnsi="黑体" w:eastAsia="黑体" w:cs="黑体"/>
          <w:color w:val="auto"/>
          <w:sz w:val="32"/>
          <w:szCs w:val="32"/>
        </w:rPr>
        <w:t>年</w:t>
      </w:r>
      <w:r>
        <w:rPr>
          <w:rFonts w:hint="eastAsia" w:ascii="黑体" w:hAnsi="黑体" w:eastAsia="黑体" w:cs="黑体"/>
          <w:color w:val="auto"/>
          <w:sz w:val="32"/>
          <w:szCs w:val="32"/>
          <w:lang w:val="en-US" w:eastAsia="zh-CN"/>
        </w:rPr>
        <w:t>推进法治政府建设的主要措施和成效</w:t>
      </w:r>
    </w:p>
    <w:p w14:paraId="16429F22">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（一）切实提高政治站位，增强思想自觉。</w:t>
      </w:r>
    </w:p>
    <w:p w14:paraId="1353CD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olor w:val="auto"/>
          <w:lang w:val="en-US" w:eastAsia="zh-CN"/>
        </w:rPr>
      </w:pPr>
      <w:r>
        <w:rPr>
          <w:rFonts w:hint="eastAsia" w:ascii="仿宋_GB2312" w:hAnsi="仿宋_GB2312" w:eastAsia="仿宋_GB2312" w:cs="仿宋_GB2312"/>
          <w:color w:val="auto"/>
          <w:sz w:val="32"/>
          <w:szCs w:val="32"/>
          <w:lang w:val="en-US" w:eastAsia="zh-CN"/>
        </w:rPr>
        <w:t>市统计局把理论学习作为首要任务，将习近平法治思想贯穿统计工作始终，突出党的全面领导，充分发挥党组理论学习中心组学习的示范带动作用，深入学习贯彻党的二十大和二十届三中全会关于法治政府建设重大部署，以及习近平总书记关于统计工作重要讲话和指示批示精神等，推进依法行政，严格执行统计法律法规，依法组织实施统计调查，确保统计工作在法治轨道上运行，保障统计数据的真实性、准确性、完整性和及时性。</w:t>
      </w:r>
    </w:p>
    <w:p w14:paraId="25BB7B89">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default"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（二）坚持问题导向，狠抓重点工作落实</w:t>
      </w:r>
    </w:p>
    <w:p w14:paraId="6D8F1A95">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全面提升执法监督效能。2024年有1人通过执法证考试，统计执法队伍增至3人，进一步壮大了执法力量，巩固了执法成效。全年各专业开展数据质量核查单位101家，开展行政处罚单位2家，开展涉企行政执法检查20家，其中同市市场监管局开展联合检查1家，检查涵盖“四上单位”和固定资产投资项目的全部专业，切实做到检查专业全覆盖、检查重点指标全覆盖。</w:t>
      </w:r>
    </w:p>
    <w:p w14:paraId="3B69B37B">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二是落实“三项制度”等重点法治工作。新修改《统计法》颁布后，及时更新《庄河市统计局权责清单》，并按要求对外公示。</w:t>
      </w:r>
      <w:r>
        <w:rPr>
          <w:rFonts w:hint="eastAsia" w:ascii="仿宋_GB2312" w:hAnsi="仿宋_GB2312" w:eastAsia="仿宋_GB2312" w:cs="仿宋_GB2312"/>
          <w:color w:val="auto"/>
          <w:kern w:val="0"/>
          <w:sz w:val="32"/>
          <w:szCs w:val="32"/>
          <w:lang w:val="en-US" w:eastAsia="zh-CN"/>
        </w:rPr>
        <w:t>注重优秀年轻干部培养，开展公职律师队伍建设工作，安排他们在普法、执法等重点工作中发挥作用。</w:t>
      </w:r>
      <w:r>
        <w:rPr>
          <w:rFonts w:hint="eastAsia" w:ascii="仿宋_GB2312" w:hAnsi="仿宋_GB2312" w:eastAsia="仿宋_GB2312" w:cs="仿宋_GB2312"/>
          <w:color w:val="auto"/>
          <w:sz w:val="32"/>
          <w:szCs w:val="32"/>
          <w:highlight w:val="none"/>
          <w:lang w:val="en-US" w:eastAsia="zh-CN"/>
        </w:rPr>
        <w:t>开展行政执法案卷评查自查1次，共自查2家行政处罚案卷，18个行政检查案卷；参加全市案卷评比1次，共抽查2个行政处罚案卷，18个行政检查案卷。</w:t>
      </w:r>
    </w:p>
    <w:p w14:paraId="46CA584B">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（三）开展普法宣传，依法全面履行职能</w:t>
      </w:r>
    </w:p>
    <w:p w14:paraId="55A6BE70">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是推动领导干部带头学习，提请市委常委会和市政府常务会分别组织学习传达习近平总书记关于统计工作重要讲话和重要指示批示精神、《领导干部干预统计工作记录报告制度》、《中国共产党纪律处分条例》第139条、新修改《中华人民共和国统计法》相关内容和统计违法违纪案例，提示乡镇（街道）、相关部门跟进学习，统计系统内部深入学习统计法律法规和防惩统计造假重要文件精神，不断提高党政领导干部统计法治意识。</w:t>
      </w:r>
    </w:p>
    <w:p w14:paraId="13F4C380">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二是将统计普法与业务培训、检查指导相融合，面向基层统计人员定期开展业务培训，做到“逢培训必学法”，全年开展法治培训及业务培训17次，培训人次达600余人，全面提升统计调查对象依法统计的意识。</w:t>
      </w:r>
    </w:p>
    <w:p w14:paraId="49C8DC90">
      <w:pPr>
        <w:keepNext w:val="0"/>
        <w:keepLines w:val="0"/>
        <w:pageBreakBefore w:val="0"/>
        <w:widowControl w:val="0"/>
        <w:kinsoku/>
        <w:wordWrap/>
        <w:overflowPunct/>
        <w:topLinePunct w:val="0"/>
        <w:autoSpaceDE/>
        <w:autoSpaceDN/>
        <w:bidi w:val="0"/>
        <w:adjustRightInd/>
        <w:snapToGrid/>
        <w:spacing w:line="600" w:lineRule="exact"/>
        <w:ind w:firstLine="66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三是广泛开展面向公众的普法宣传，通过“中国统计开放日”、宪法宣传周、“12.8”统计法颁布纪念日等活动，向群众普及统计知识和宣讲解读统计法律法规。</w:t>
      </w:r>
    </w:p>
    <w:p w14:paraId="0F920D48">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二、</w:t>
      </w:r>
      <w:r>
        <w:rPr>
          <w:rFonts w:hint="eastAsia" w:ascii="黑体" w:hAnsi="黑体" w:eastAsia="黑体" w:cs="黑体"/>
          <w:color w:val="auto"/>
          <w:sz w:val="32"/>
          <w:szCs w:val="32"/>
          <w:lang w:val="en-US" w:eastAsia="zh-CN"/>
        </w:rPr>
        <w:t>2024年推进法治政府建设</w:t>
      </w:r>
      <w:r>
        <w:rPr>
          <w:rFonts w:hint="eastAsia" w:ascii="黑体" w:hAnsi="黑体" w:eastAsia="黑体" w:cs="黑体"/>
          <w:color w:val="auto"/>
          <w:sz w:val="32"/>
          <w:szCs w:val="32"/>
        </w:rPr>
        <w:t>存在的不足和</w:t>
      </w:r>
      <w:r>
        <w:rPr>
          <w:rFonts w:hint="eastAsia" w:ascii="黑体" w:hAnsi="黑体" w:eastAsia="黑体" w:cs="黑体"/>
          <w:color w:val="auto"/>
          <w:sz w:val="32"/>
          <w:szCs w:val="32"/>
          <w:lang w:val="en-US" w:eastAsia="zh-CN"/>
        </w:rPr>
        <w:t>原因</w:t>
      </w:r>
    </w:p>
    <w:p w14:paraId="5D3DFE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一是统计调查单位对统计工作重视程度不够，对《统计法》的内容和报表要求一知半解，对统计违法行为的危害性缺乏深刻认识。</w:t>
      </w:r>
    </w:p>
    <w:p w14:paraId="23E3A12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color w:val="auto"/>
          <w:sz w:val="32"/>
          <w:szCs w:val="32"/>
          <w:lang w:val="en-US" w:eastAsia="zh-CN"/>
        </w:rPr>
        <w:t>二是统计人员理论学习还不深刻。对统计法律法规学习有时还流于形式，依赖集中学习，忽视个人学习。特别是</w:t>
      </w:r>
      <w:r>
        <w:rPr>
          <w:rFonts w:hint="eastAsia" w:ascii="仿宋_GB2312" w:hAnsi="仿宋_GB2312" w:eastAsia="仿宋_GB2312" w:cs="仿宋_GB2312"/>
          <w:b w:val="0"/>
          <w:bCs/>
          <w:color w:val="auto"/>
          <w:sz w:val="32"/>
          <w:szCs w:val="32"/>
          <w:lang w:val="en-US" w:eastAsia="zh-CN"/>
        </w:rPr>
        <w:t>学习贯彻落实</w:t>
      </w:r>
      <w:r>
        <w:rPr>
          <w:rFonts w:hint="eastAsia" w:ascii="仿宋_GB2312" w:hAnsi="仿宋_GB2312" w:eastAsia="仿宋_GB2312" w:cs="仿宋_GB2312"/>
          <w:b w:val="0"/>
          <w:color w:val="auto"/>
          <w:kern w:val="2"/>
          <w:sz w:val="32"/>
          <w:szCs w:val="32"/>
          <w:lang w:val="en-US" w:eastAsia="zh-CN" w:bidi="ar-SA"/>
        </w:rPr>
        <w:t>习近平总书记关于统计工作的重要讲话和指示精神</w:t>
      </w:r>
      <w:r>
        <w:rPr>
          <w:rFonts w:hint="eastAsia" w:ascii="仿宋_GB2312" w:hAnsi="仿宋_GB2312" w:eastAsia="仿宋_GB2312" w:cs="仿宋_GB2312"/>
          <w:b w:val="0"/>
          <w:bCs/>
          <w:color w:val="auto"/>
          <w:sz w:val="32"/>
          <w:szCs w:val="32"/>
          <w:lang w:val="en-US" w:eastAsia="zh-CN"/>
        </w:rPr>
        <w:t>不够深入，理解领悟不够透彻。</w:t>
      </w:r>
    </w:p>
    <w:p w14:paraId="711A09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2"/>
          <w:sz w:val="32"/>
          <w:szCs w:val="32"/>
          <w:highlight w:val="yellow"/>
          <w:lang w:val="en-US" w:eastAsia="zh-CN" w:bidi="ar-SA"/>
        </w:rPr>
      </w:pPr>
      <w:r>
        <w:rPr>
          <w:rFonts w:hint="eastAsia" w:ascii="仿宋_GB2312" w:hAnsi="仿宋_GB2312" w:eastAsia="仿宋_GB2312" w:cs="仿宋_GB2312"/>
          <w:b w:val="0"/>
          <w:bCs/>
          <w:color w:val="auto"/>
          <w:sz w:val="32"/>
          <w:szCs w:val="32"/>
          <w:lang w:val="en-US" w:eastAsia="zh-CN"/>
        </w:rPr>
        <w:t>三是</w:t>
      </w:r>
      <w:r>
        <w:rPr>
          <w:rFonts w:hint="default" w:ascii="仿宋_GB2312" w:hAnsi="仿宋_GB2312" w:eastAsia="仿宋_GB2312" w:cs="仿宋_GB2312"/>
          <w:b w:val="0"/>
          <w:bCs/>
          <w:color w:val="auto"/>
          <w:sz w:val="32"/>
          <w:szCs w:val="32"/>
          <w:lang w:val="en-US" w:eastAsia="zh-CN"/>
        </w:rPr>
        <w:t>统计法律法规宣传</w:t>
      </w:r>
      <w:r>
        <w:rPr>
          <w:rFonts w:hint="eastAsia" w:ascii="仿宋_GB2312" w:hAnsi="仿宋_GB2312" w:eastAsia="仿宋_GB2312" w:cs="仿宋_GB2312"/>
          <w:b w:val="0"/>
          <w:bCs/>
          <w:color w:val="auto"/>
          <w:sz w:val="32"/>
          <w:szCs w:val="32"/>
          <w:lang w:val="en-US" w:eastAsia="zh-CN"/>
        </w:rPr>
        <w:t>力度不足</w:t>
      </w:r>
      <w:r>
        <w:rPr>
          <w:rFonts w:hint="default" w:ascii="仿宋_GB2312" w:hAnsi="仿宋_GB2312" w:eastAsia="仿宋_GB2312" w:cs="仿宋_GB2312"/>
          <w:b w:val="0"/>
          <w:bCs/>
          <w:color w:val="auto"/>
          <w:sz w:val="32"/>
          <w:szCs w:val="32"/>
          <w:lang w:val="en-US" w:eastAsia="zh-CN"/>
        </w:rPr>
        <w:t>。宣传教育的形式与内容单一，统计</w:t>
      </w:r>
      <w:r>
        <w:rPr>
          <w:rFonts w:hint="eastAsia" w:ascii="仿宋_GB2312" w:hAnsi="仿宋_GB2312" w:eastAsia="仿宋_GB2312" w:cs="仿宋_GB2312"/>
          <w:b w:val="0"/>
          <w:bCs/>
          <w:color w:val="auto"/>
          <w:sz w:val="32"/>
          <w:szCs w:val="32"/>
          <w:lang w:val="en-US" w:eastAsia="zh-CN"/>
        </w:rPr>
        <w:t>违法</w:t>
      </w:r>
      <w:r>
        <w:rPr>
          <w:rFonts w:hint="default" w:ascii="仿宋_GB2312" w:hAnsi="仿宋_GB2312" w:eastAsia="仿宋_GB2312" w:cs="仿宋_GB2312"/>
          <w:b w:val="0"/>
          <w:bCs/>
          <w:color w:val="auto"/>
          <w:sz w:val="32"/>
          <w:szCs w:val="32"/>
          <w:lang w:val="en-US" w:eastAsia="zh-CN"/>
        </w:rPr>
        <w:t>案件的警示教育功能尚未得到充分发挥，落实“谁执法谁普法”要求需要进一步加强。</w:t>
      </w:r>
    </w:p>
    <w:p w14:paraId="47857161">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rPr>
        <w:t>三、</w:t>
      </w:r>
      <w:r>
        <w:rPr>
          <w:rFonts w:hint="eastAsia" w:ascii="黑体" w:hAnsi="黑体" w:eastAsia="黑体" w:cs="黑体"/>
          <w:color w:val="auto"/>
          <w:sz w:val="32"/>
          <w:szCs w:val="32"/>
          <w:lang w:val="en-US" w:eastAsia="zh-CN"/>
        </w:rPr>
        <w:t>2024年党政主要责任人履行推进法治建设第一责任人职责，加强法治政府建设的有关情况</w:t>
      </w:r>
    </w:p>
    <w:p w14:paraId="71457A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Times New Roman"/>
          <w:color w:val="auto"/>
          <w:kern w:val="2"/>
          <w:sz w:val="32"/>
          <w:szCs w:val="32"/>
          <w:lang w:val="en-US" w:eastAsia="zh-CN"/>
        </w:rPr>
        <w:t>一是坚决树牢法治理念。市统计局党组书记、局长作为推进法治政府建设第一责任人，始终坚持把法治政府建设摆在全局工作的重要位置，通过组织召开党组中心组理论学习、机关大会等形式</w:t>
      </w:r>
      <w:r>
        <w:rPr>
          <w:rFonts w:hint="eastAsia" w:ascii="仿宋_GB2312" w:hAnsi="仿宋_GB2312" w:eastAsia="仿宋_GB2312" w:cs="仿宋_GB2312"/>
          <w:color w:val="auto"/>
          <w:sz w:val="32"/>
          <w:szCs w:val="32"/>
          <w:lang w:val="en-US" w:eastAsia="zh-CN"/>
        </w:rPr>
        <w:t>带领全局干部认真学习贯彻习近平法治思想，定期开展《意见》《办法》《规定》和《监督意见》学习，研究制定普法规划和年度执法检查计划，落实“谁执法谁普法”责任制，强化对依法统计工作的领导。</w:t>
      </w:r>
    </w:p>
    <w:p w14:paraId="1CE552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是推进统计法律法规进党校。积极推动将统计法纳入党校领导干部培训班必修课，在庄河市委党校组织开展庄河市领导干部统计法律法规培训班，全市各乡镇（街道）行政主要领导及分管领导、相关市直单位分管领导共60余人参加培训，进一步发挥领导干部在统计法治建设中的示范引领作用，推动其树立正确的政绩观，增强依法统计意识，严守统计法律底线。</w:t>
      </w:r>
    </w:p>
    <w:p w14:paraId="6D8E8D98">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三是充分发挥统计监督职能。强化统计监测，做到数前预警预判、数中实时监测、数后深度分析，</w:t>
      </w:r>
      <w:r>
        <w:rPr>
          <w:rFonts w:hint="eastAsia" w:ascii="仿宋_GB2312" w:hAnsi="仿宋_GB2312" w:eastAsia="仿宋_GB2312" w:cs="仿宋_GB2312"/>
          <w:color w:val="auto"/>
          <w:sz w:val="32"/>
          <w:szCs w:val="32"/>
        </w:rPr>
        <w:t>加强</w:t>
      </w:r>
      <w:r>
        <w:rPr>
          <w:rFonts w:hint="eastAsia" w:ascii="仿宋_GB2312" w:hAnsi="仿宋_GB2312" w:eastAsia="仿宋_GB2312" w:cs="仿宋_GB2312"/>
          <w:color w:val="auto"/>
          <w:sz w:val="32"/>
          <w:szCs w:val="32"/>
          <w:lang w:eastAsia="zh-CN"/>
        </w:rPr>
        <w:t>统计数据全流程监管，报表期内针对查询的问题及时反馈整改。</w:t>
      </w:r>
      <w:r>
        <w:rPr>
          <w:rFonts w:hint="eastAsia" w:ascii="仿宋_GB2312" w:hAnsi="仿宋_GB2312" w:eastAsia="仿宋_GB2312" w:cs="仿宋_GB2312"/>
          <w:color w:val="auto"/>
          <w:sz w:val="32"/>
          <w:szCs w:val="32"/>
        </w:rPr>
        <w:t>不断夯实基层基础，</w:t>
      </w:r>
      <w:r>
        <w:rPr>
          <w:rFonts w:hint="eastAsia" w:ascii="仿宋_GB2312" w:hAnsi="仿宋_GB2312" w:eastAsia="仿宋_GB2312" w:cs="仿宋_GB2312"/>
          <w:color w:val="auto"/>
          <w:sz w:val="32"/>
          <w:szCs w:val="32"/>
          <w:lang w:eastAsia="zh-CN"/>
        </w:rPr>
        <w:t>开展乡镇（街道）统计基层基础规范化建设培训，督促基层统计机构健全完善统计基础资料，提高统计数据质量。</w:t>
      </w:r>
      <w:r>
        <w:rPr>
          <w:rFonts w:hint="eastAsia" w:ascii="仿宋_GB2312" w:hAnsi="仿宋_GB2312" w:eastAsia="仿宋_GB2312" w:cs="仿宋_GB2312"/>
          <w:color w:val="auto"/>
          <w:sz w:val="32"/>
          <w:szCs w:val="32"/>
        </w:rPr>
        <w:t>加强与各部门的沟通协作，建立健全统计监督与组织监督、纪检监督、审计监督的贯通协调机制，推动形成信息共享、事务共商、难题共解、成果共用的良好局面。</w:t>
      </w:r>
    </w:p>
    <w:p w14:paraId="45FA8DC6">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5</w:t>
      </w:r>
      <w:r>
        <w:rPr>
          <w:rFonts w:hint="eastAsia" w:ascii="黑体" w:hAnsi="黑体" w:eastAsia="黑体" w:cs="黑体"/>
          <w:color w:val="auto"/>
          <w:sz w:val="32"/>
          <w:szCs w:val="32"/>
        </w:rPr>
        <w:t>年</w:t>
      </w:r>
      <w:r>
        <w:rPr>
          <w:rFonts w:hint="eastAsia" w:ascii="黑体" w:hAnsi="黑体" w:eastAsia="黑体" w:cs="黑体"/>
          <w:color w:val="auto"/>
          <w:sz w:val="32"/>
          <w:szCs w:val="32"/>
          <w:lang w:val="en-US" w:eastAsia="zh-CN"/>
        </w:rPr>
        <w:t>推进法治政府建设的主要安排</w:t>
      </w:r>
    </w:p>
    <w:p w14:paraId="3FB2F74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强化统计法治建设、压实法治责任。始终坚持以习近平新时代中国特色社会主义思想为根本指引，深入学习贯彻党的二十大以及二十届三中全会精神、习近平法治思想、习近平总书记关于统计工作的重要讲话和重要指示批示精神，全面落实党中央关于统计工作的各项决策部署，牢固树立法治思维，强化责任意识，切实增强法治政府建设的思想自觉和行动自觉，推动法治政府建设工作再上新台阶。</w:t>
      </w:r>
    </w:p>
    <w:p w14:paraId="7A5ED5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要强化执法队伍建设，提升法治素质。对符合条件的干部积极推荐参加统计执法证考试，力争不断壮大执法队伍，加大对统计执法人员的业务培训力度，提高执法人员对法律法规和规章条文的理解和运用能力，加强对行政违法行为的调查取证和分析判断能力，建设一支业务素质好、执法能力强的统计执法人员队伍。</w:t>
      </w:r>
    </w:p>
    <w:p w14:paraId="37F6E4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要加强法治宣传，提升法治意识。广泛深入开展新修改《统计法》宣传教育，积极构建“领导干部带头学、统计干部全面学、相关部门重点学、统计对象普遍学的、社会公众广泛学”学习模式，树牢依法统计理念、强化依法治统意识。落实好“谁执法谁普法”责任，利用执法检查、数据质量核查、领导干部进企业等契机，向企业宣讲统计法律法规，督促企业严格执行国家统计制度，依法依规上报统计数据，进一步提升调查对象统计法治意识。</w:t>
      </w:r>
    </w:p>
    <w:p w14:paraId="141B8424">
      <w:pPr>
        <w:pStyle w:val="2"/>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eastAsia" w:ascii="黑体" w:hAnsi="黑体" w:eastAsia="黑体" w:cs="黑体"/>
          <w:bCs/>
          <w:color w:val="auto"/>
          <w:sz w:val="32"/>
          <w:szCs w:val="32"/>
          <w:lang w:val="en-US" w:eastAsia="zh-CN"/>
        </w:rPr>
      </w:pPr>
      <w:r>
        <w:rPr>
          <w:rFonts w:hint="eastAsia" w:ascii="黑体" w:hAnsi="黑体" w:eastAsia="黑体" w:cs="黑体"/>
          <w:bCs/>
          <w:color w:val="auto"/>
          <w:sz w:val="32"/>
          <w:szCs w:val="32"/>
          <w:lang w:val="en-US" w:eastAsia="zh-CN"/>
        </w:rPr>
        <w:t>五、其他需要报告的情况</w:t>
      </w:r>
    </w:p>
    <w:p w14:paraId="70C4441A">
      <w:pPr>
        <w:pStyle w:val="2"/>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无。</w:t>
      </w:r>
    </w:p>
    <w:p w14:paraId="761E440D">
      <w:pPr>
        <w:pStyle w:val="2"/>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eastAsia" w:ascii="仿宋_GB2312" w:hAnsi="仿宋_GB2312" w:eastAsia="仿宋_GB2312" w:cs="仿宋_GB2312"/>
          <w:bCs/>
          <w:color w:val="auto"/>
          <w:sz w:val="32"/>
          <w:szCs w:val="32"/>
          <w:lang w:val="en-US" w:eastAsia="zh-CN"/>
        </w:rPr>
      </w:pPr>
    </w:p>
    <w:p w14:paraId="0A0FA47C">
      <w:pPr>
        <w:pStyle w:val="2"/>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eastAsia" w:ascii="仿宋_GB2312" w:hAnsi="仿宋_GB2312" w:eastAsia="仿宋_GB2312" w:cs="仿宋_GB2312"/>
          <w:bCs/>
          <w:color w:val="auto"/>
          <w:sz w:val="32"/>
          <w:szCs w:val="32"/>
          <w:lang w:val="en-US" w:eastAsia="zh-CN"/>
        </w:rPr>
      </w:pPr>
    </w:p>
    <w:p w14:paraId="40A4CAF1">
      <w:pPr>
        <w:pStyle w:val="2"/>
        <w:keepNext w:val="0"/>
        <w:keepLines w:val="0"/>
        <w:pageBreakBefore w:val="0"/>
        <w:widowControl w:val="0"/>
        <w:kinsoku/>
        <w:wordWrap/>
        <w:overflowPunct/>
        <w:topLinePunct w:val="0"/>
        <w:autoSpaceDE/>
        <w:autoSpaceDN/>
        <w:bidi w:val="0"/>
        <w:adjustRightInd/>
        <w:snapToGrid/>
        <w:spacing w:line="600" w:lineRule="exact"/>
        <w:ind w:firstLine="5760" w:firstLineChars="18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庄河市统计局</w:t>
      </w:r>
    </w:p>
    <w:p w14:paraId="14F107F9">
      <w:pPr>
        <w:keepNext w:val="0"/>
        <w:keepLines w:val="0"/>
        <w:pageBreakBefore w:val="0"/>
        <w:widowControl w:val="0"/>
        <w:tabs>
          <w:tab w:val="left" w:pos="4900"/>
        </w:tabs>
        <w:kinsoku/>
        <w:wordWrap/>
        <w:overflowPunct/>
        <w:topLinePunct w:val="0"/>
        <w:autoSpaceDE/>
        <w:autoSpaceDN/>
        <w:bidi w:val="0"/>
        <w:adjustRightInd/>
        <w:snapToGrid/>
        <w:spacing w:line="600" w:lineRule="exact"/>
        <w:jc w:val="center"/>
        <w:textAlignment w:val="auto"/>
        <w:rPr>
          <w:rFonts w:ascii="仿宋_GB2312" w:eastAsia="仿宋_GB2312"/>
          <w:color w:val="auto"/>
          <w:sz w:val="32"/>
          <w:szCs w:val="32"/>
        </w:rPr>
      </w:pP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202</w:t>
      </w:r>
      <w:r>
        <w:rPr>
          <w:rFonts w:hint="eastAsia" w:ascii="仿宋_GB2312" w:hAnsi="仿宋_GB2312" w:eastAsia="仿宋_GB2312" w:cs="仿宋_GB2312"/>
          <w:b w:val="0"/>
          <w:bCs/>
          <w:color w:val="auto"/>
          <w:sz w:val="32"/>
          <w:szCs w:val="32"/>
          <w:lang w:val="en-US" w:eastAsia="zh-CN"/>
        </w:rPr>
        <w:t>5</w:t>
      </w:r>
      <w:r>
        <w:rPr>
          <w:rFonts w:hint="eastAsia" w:ascii="仿宋_GB2312" w:hAnsi="仿宋_GB2312" w:eastAsia="仿宋_GB2312" w:cs="仿宋_GB2312"/>
          <w:b w:val="0"/>
          <w:bCs/>
          <w:color w:val="auto"/>
          <w:sz w:val="32"/>
          <w:szCs w:val="32"/>
        </w:rPr>
        <w:t>年1月</w:t>
      </w:r>
      <w:r>
        <w:rPr>
          <w:rFonts w:hint="eastAsia" w:ascii="仿宋_GB2312" w:hAnsi="仿宋_GB2312" w:eastAsia="仿宋_GB2312" w:cs="仿宋_GB2312"/>
          <w:b w:val="0"/>
          <w:bCs/>
          <w:color w:val="auto"/>
          <w:sz w:val="32"/>
          <w:szCs w:val="32"/>
          <w:lang w:val="en-US" w:eastAsia="zh-CN"/>
        </w:rPr>
        <w:t>17日</w:t>
      </w:r>
    </w:p>
    <w:p w14:paraId="39A26437">
      <w:pPr>
        <w:keepNext w:val="0"/>
        <w:keepLines w:val="0"/>
        <w:pageBreakBefore w:val="0"/>
        <w:widowControl w:val="0"/>
        <w:kinsoku/>
        <w:wordWrap/>
        <w:overflowPunct/>
        <w:topLinePunct w:val="0"/>
        <w:autoSpaceDE/>
        <w:autoSpaceDN/>
        <w:bidi w:val="0"/>
        <w:adjustRightInd/>
        <w:snapToGrid/>
        <w:spacing w:line="600" w:lineRule="exact"/>
        <w:ind w:right="26" w:firstLine="210" w:firstLineChars="100"/>
        <w:textAlignment w:val="auto"/>
        <w:rPr>
          <w:rFonts w:hint="default"/>
          <w:color w:val="auto"/>
          <w:lang w:val="en-US"/>
        </w:rPr>
      </w:pPr>
    </w:p>
    <w:p w14:paraId="67A15FE5">
      <w:pPr>
        <w:keepNext w:val="0"/>
        <w:keepLines w:val="0"/>
        <w:pageBreakBefore w:val="0"/>
        <w:widowControl w:val="0"/>
        <w:kinsoku/>
        <w:wordWrap/>
        <w:overflowPunct/>
        <w:topLinePunct w:val="0"/>
        <w:autoSpaceDE/>
        <w:autoSpaceDN/>
        <w:bidi w:val="0"/>
        <w:adjustRightInd/>
        <w:snapToGrid/>
        <w:spacing w:line="600" w:lineRule="exact"/>
        <w:ind w:right="26" w:firstLine="210" w:firstLineChars="100"/>
        <w:textAlignment w:val="auto"/>
        <w:rPr>
          <w:rFonts w:hint="default"/>
          <w:color w:val="auto"/>
          <w:lang w:val="en-US"/>
        </w:rPr>
      </w:pPr>
    </w:p>
    <w:p w14:paraId="541B7976">
      <w:pPr>
        <w:keepNext w:val="0"/>
        <w:keepLines w:val="0"/>
        <w:pageBreakBefore w:val="0"/>
        <w:widowControl w:val="0"/>
        <w:kinsoku/>
        <w:wordWrap/>
        <w:overflowPunct/>
        <w:topLinePunct w:val="0"/>
        <w:autoSpaceDE/>
        <w:autoSpaceDN/>
        <w:bidi w:val="0"/>
        <w:adjustRightInd/>
        <w:snapToGrid/>
        <w:spacing w:line="600" w:lineRule="exact"/>
        <w:ind w:right="26" w:firstLine="210" w:firstLineChars="100"/>
        <w:textAlignment w:val="auto"/>
        <w:rPr>
          <w:rFonts w:hint="default"/>
          <w:color w:val="auto"/>
          <w:lang w:val="en-US"/>
        </w:rPr>
      </w:pPr>
    </w:p>
    <w:p w14:paraId="74CDC265">
      <w:pPr>
        <w:keepNext w:val="0"/>
        <w:keepLines w:val="0"/>
        <w:pageBreakBefore w:val="0"/>
        <w:widowControl w:val="0"/>
        <w:kinsoku/>
        <w:wordWrap/>
        <w:overflowPunct/>
        <w:topLinePunct w:val="0"/>
        <w:autoSpaceDE/>
        <w:autoSpaceDN/>
        <w:bidi w:val="0"/>
        <w:adjustRightInd/>
        <w:snapToGrid/>
        <w:spacing w:line="600" w:lineRule="exact"/>
        <w:ind w:right="26" w:firstLine="210" w:firstLineChars="100"/>
        <w:textAlignment w:val="auto"/>
        <w:rPr>
          <w:rFonts w:hint="default"/>
          <w:color w:val="auto"/>
          <w:lang w:val="en-US"/>
        </w:rPr>
      </w:pPr>
    </w:p>
    <w:p w14:paraId="6C9577C0">
      <w:pPr>
        <w:keepNext w:val="0"/>
        <w:keepLines w:val="0"/>
        <w:pageBreakBefore w:val="0"/>
        <w:widowControl w:val="0"/>
        <w:kinsoku/>
        <w:wordWrap/>
        <w:overflowPunct/>
        <w:topLinePunct w:val="0"/>
        <w:autoSpaceDE/>
        <w:autoSpaceDN/>
        <w:bidi w:val="0"/>
        <w:adjustRightInd/>
        <w:snapToGrid/>
        <w:spacing w:line="600" w:lineRule="exact"/>
        <w:ind w:right="26" w:firstLine="210" w:firstLineChars="100"/>
        <w:textAlignment w:val="auto"/>
        <w:rPr>
          <w:rFonts w:hint="default"/>
          <w:color w:val="auto"/>
          <w:lang w:val="en-US"/>
        </w:rPr>
      </w:pPr>
    </w:p>
    <w:p w14:paraId="7C4F90DC">
      <w:pPr>
        <w:keepNext w:val="0"/>
        <w:keepLines w:val="0"/>
        <w:pageBreakBefore w:val="0"/>
        <w:widowControl w:val="0"/>
        <w:kinsoku/>
        <w:wordWrap/>
        <w:overflowPunct/>
        <w:topLinePunct w:val="0"/>
        <w:autoSpaceDE/>
        <w:autoSpaceDN/>
        <w:bidi w:val="0"/>
        <w:adjustRightInd/>
        <w:snapToGrid/>
        <w:spacing w:line="600" w:lineRule="exact"/>
        <w:ind w:right="26"/>
        <w:textAlignment w:val="auto"/>
        <w:rPr>
          <w:rFonts w:hint="default"/>
          <w:color w:val="auto"/>
          <w:lang w:val="en-US"/>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76C8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Borders>
              <w:left w:val="nil"/>
              <w:right w:val="nil"/>
            </w:tcBorders>
          </w:tcPr>
          <w:p w14:paraId="7B4E8137">
            <w:pPr>
              <w:pStyle w:val="2"/>
              <w:ind w:left="0" w:leftChars="0" w:firstLine="0" w:firstLineChars="0"/>
              <w:rPr>
                <w:rFonts w:hint="eastAsia" w:ascii="仿宋_GB2312" w:hAnsi="仿宋_GB2312" w:eastAsia="仿宋_GB2312" w:cs="仿宋_GB2312"/>
                <w:color w:val="auto"/>
                <w:sz w:val="32"/>
                <w:szCs w:val="32"/>
                <w:vertAlign w:val="baseline"/>
                <w:lang w:val="en-US"/>
              </w:rPr>
            </w:pPr>
            <w:r>
              <w:rPr>
                <w:rFonts w:hint="eastAsia" w:ascii="仿宋_GB2312" w:hAnsi="仿宋_GB2312" w:eastAsia="仿宋_GB2312" w:cs="仿宋_GB2312"/>
                <w:color w:val="auto"/>
                <w:sz w:val="32"/>
                <w:szCs w:val="32"/>
                <w:vertAlign w:val="baseline"/>
                <w:lang w:val="en-US" w:eastAsia="zh-CN"/>
              </w:rPr>
              <w:t>抄送：中共庄河市委全面依法治市委员会办公室</w:t>
            </w:r>
          </w:p>
        </w:tc>
      </w:tr>
      <w:tr w14:paraId="22BE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Borders>
              <w:left w:val="nil"/>
              <w:right w:val="nil"/>
            </w:tcBorders>
          </w:tcPr>
          <w:p w14:paraId="7807AE9C">
            <w:pPr>
              <w:pStyle w:val="2"/>
              <w:ind w:left="0" w:leftChars="0" w:firstLine="0" w:firstLineChars="0"/>
              <w:rPr>
                <w:rFonts w:hint="eastAsia" w:ascii="仿宋_GB2312" w:hAnsi="仿宋_GB2312" w:eastAsia="仿宋_GB2312" w:cs="仿宋_GB2312"/>
                <w:color w:val="auto"/>
                <w:sz w:val="32"/>
                <w:szCs w:val="32"/>
                <w:vertAlign w:val="baseline"/>
                <w:lang w:val="en-US"/>
              </w:rPr>
            </w:pPr>
            <w:r>
              <w:rPr>
                <w:rFonts w:hint="eastAsia" w:ascii="仿宋_GB2312" w:hAnsi="仿宋_GB2312" w:eastAsia="仿宋_GB2312" w:cs="仿宋_GB2312"/>
                <w:color w:val="auto"/>
                <w:sz w:val="32"/>
                <w:szCs w:val="32"/>
                <w:vertAlign w:val="baseline"/>
                <w:lang w:val="en-US" w:eastAsia="zh-CN"/>
              </w:rPr>
              <w:t>庄河市统计局综合室                 2025年1月17日印（发）</w:t>
            </w:r>
          </w:p>
        </w:tc>
      </w:tr>
    </w:tbl>
    <w:p w14:paraId="5E7237B6">
      <w:pPr>
        <w:pStyle w:val="2"/>
        <w:keepNext w:val="0"/>
        <w:keepLines w:val="0"/>
        <w:pageBreakBefore w:val="0"/>
        <w:widowControl w:val="0"/>
        <w:kinsoku/>
        <w:wordWrap/>
        <w:overflowPunct/>
        <w:topLinePunct w:val="0"/>
        <w:autoSpaceDE/>
        <w:autoSpaceDN/>
        <w:bidi w:val="0"/>
        <w:adjustRightInd/>
        <w:snapToGrid/>
        <w:spacing w:line="20" w:lineRule="exact"/>
        <w:ind w:left="0" w:leftChars="0" w:firstLine="0" w:firstLineChars="0"/>
        <w:textAlignment w:val="auto"/>
        <w:rPr>
          <w:rFonts w:hint="default"/>
          <w:color w:val="auto"/>
          <w:lang w:val="en-US"/>
        </w:rPr>
      </w:pPr>
    </w:p>
    <w:sectPr>
      <w:footerReference r:id="rId3" w:type="default"/>
      <w:type w:val="continuous"/>
      <w:pgSz w:w="11906" w:h="16838"/>
      <w:pgMar w:top="2211" w:right="1531" w:bottom="1871" w:left="1531"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A4593">
    <w:pPr>
      <w:pStyle w:val="6"/>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FD5050">
                <w:pPr>
                  <w:pStyle w:val="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U2MTQ5ODRhZjA2Y2Q0NzdkMDQyYWJmMThlMjk1MTQifQ=="/>
  </w:docVars>
  <w:rsids>
    <w:rsidRoot w:val="00D01732"/>
    <w:rsid w:val="00000BD4"/>
    <w:rsid w:val="000026ED"/>
    <w:rsid w:val="00032139"/>
    <w:rsid w:val="00076791"/>
    <w:rsid w:val="000E3A94"/>
    <w:rsid w:val="00172465"/>
    <w:rsid w:val="001B2A05"/>
    <w:rsid w:val="001C5EE7"/>
    <w:rsid w:val="001E4BF5"/>
    <w:rsid w:val="00216E06"/>
    <w:rsid w:val="00226325"/>
    <w:rsid w:val="00261773"/>
    <w:rsid w:val="00294DE2"/>
    <w:rsid w:val="003020AF"/>
    <w:rsid w:val="00365178"/>
    <w:rsid w:val="003A6480"/>
    <w:rsid w:val="003C4471"/>
    <w:rsid w:val="003D6656"/>
    <w:rsid w:val="00406A63"/>
    <w:rsid w:val="004257AA"/>
    <w:rsid w:val="004B5ACD"/>
    <w:rsid w:val="005B17FF"/>
    <w:rsid w:val="007412B3"/>
    <w:rsid w:val="00743F14"/>
    <w:rsid w:val="00744632"/>
    <w:rsid w:val="0077546E"/>
    <w:rsid w:val="00791146"/>
    <w:rsid w:val="0079195C"/>
    <w:rsid w:val="00795DAB"/>
    <w:rsid w:val="007F3687"/>
    <w:rsid w:val="008928ED"/>
    <w:rsid w:val="008D272D"/>
    <w:rsid w:val="009428C4"/>
    <w:rsid w:val="009B2FF4"/>
    <w:rsid w:val="00B05C48"/>
    <w:rsid w:val="00B11B26"/>
    <w:rsid w:val="00B345DB"/>
    <w:rsid w:val="00B919D7"/>
    <w:rsid w:val="00BD1D99"/>
    <w:rsid w:val="00BE4524"/>
    <w:rsid w:val="00C86D1C"/>
    <w:rsid w:val="00CB108A"/>
    <w:rsid w:val="00CD3B08"/>
    <w:rsid w:val="00CE6736"/>
    <w:rsid w:val="00CF3F36"/>
    <w:rsid w:val="00CF5500"/>
    <w:rsid w:val="00D01732"/>
    <w:rsid w:val="00D232E1"/>
    <w:rsid w:val="00DB6738"/>
    <w:rsid w:val="00E16263"/>
    <w:rsid w:val="00F04420"/>
    <w:rsid w:val="00F061D3"/>
    <w:rsid w:val="00FA2AC2"/>
    <w:rsid w:val="00FA4797"/>
    <w:rsid w:val="00FD230A"/>
    <w:rsid w:val="01463589"/>
    <w:rsid w:val="01BA61B0"/>
    <w:rsid w:val="020B6DEF"/>
    <w:rsid w:val="04071455"/>
    <w:rsid w:val="054621A3"/>
    <w:rsid w:val="05DE50B2"/>
    <w:rsid w:val="061A5470"/>
    <w:rsid w:val="07941252"/>
    <w:rsid w:val="07B60678"/>
    <w:rsid w:val="07EC2E3C"/>
    <w:rsid w:val="08FD1014"/>
    <w:rsid w:val="0923625E"/>
    <w:rsid w:val="0AFA5870"/>
    <w:rsid w:val="0C0E7282"/>
    <w:rsid w:val="0C1F4E62"/>
    <w:rsid w:val="0CA737D5"/>
    <w:rsid w:val="0D0E5602"/>
    <w:rsid w:val="0D1F15BD"/>
    <w:rsid w:val="0FD42CD5"/>
    <w:rsid w:val="1003734F"/>
    <w:rsid w:val="10795489"/>
    <w:rsid w:val="108005C5"/>
    <w:rsid w:val="10D73F5D"/>
    <w:rsid w:val="121223A9"/>
    <w:rsid w:val="123C49C0"/>
    <w:rsid w:val="1272218F"/>
    <w:rsid w:val="14135073"/>
    <w:rsid w:val="18CB051C"/>
    <w:rsid w:val="194C7105"/>
    <w:rsid w:val="19D159ED"/>
    <w:rsid w:val="1AB175CD"/>
    <w:rsid w:val="1B6015B3"/>
    <w:rsid w:val="1BD619E1"/>
    <w:rsid w:val="1C4921B3"/>
    <w:rsid w:val="1CE03A46"/>
    <w:rsid w:val="1DCA7323"/>
    <w:rsid w:val="1E164317"/>
    <w:rsid w:val="1E3E561C"/>
    <w:rsid w:val="1ECA5236"/>
    <w:rsid w:val="20346CD6"/>
    <w:rsid w:val="20857532"/>
    <w:rsid w:val="21F52495"/>
    <w:rsid w:val="222D7E81"/>
    <w:rsid w:val="233962D0"/>
    <w:rsid w:val="23D84491"/>
    <w:rsid w:val="25076767"/>
    <w:rsid w:val="265F2F65"/>
    <w:rsid w:val="27BB1A8B"/>
    <w:rsid w:val="284B2E0F"/>
    <w:rsid w:val="28665E9B"/>
    <w:rsid w:val="28810F26"/>
    <w:rsid w:val="28AF339E"/>
    <w:rsid w:val="28E76FDC"/>
    <w:rsid w:val="2A264672"/>
    <w:rsid w:val="2B0A505E"/>
    <w:rsid w:val="2B0F6376"/>
    <w:rsid w:val="2C0E0D23"/>
    <w:rsid w:val="2CEE6F2E"/>
    <w:rsid w:val="2CF47F19"/>
    <w:rsid w:val="2D885DEC"/>
    <w:rsid w:val="2E175A14"/>
    <w:rsid w:val="2FBB7B31"/>
    <w:rsid w:val="2FD63906"/>
    <w:rsid w:val="30224D9D"/>
    <w:rsid w:val="308E2433"/>
    <w:rsid w:val="324B45DE"/>
    <w:rsid w:val="32D11119"/>
    <w:rsid w:val="335B3A97"/>
    <w:rsid w:val="34A9783B"/>
    <w:rsid w:val="35B93AAE"/>
    <w:rsid w:val="35FC1BEC"/>
    <w:rsid w:val="36AA1648"/>
    <w:rsid w:val="36F079A3"/>
    <w:rsid w:val="39007C46"/>
    <w:rsid w:val="3902776C"/>
    <w:rsid w:val="393A4F06"/>
    <w:rsid w:val="395C3290"/>
    <w:rsid w:val="3B5B5607"/>
    <w:rsid w:val="3B97341E"/>
    <w:rsid w:val="3C0D4B53"/>
    <w:rsid w:val="3DBF3C2B"/>
    <w:rsid w:val="3E4D443E"/>
    <w:rsid w:val="402C4590"/>
    <w:rsid w:val="404E74E8"/>
    <w:rsid w:val="40624D42"/>
    <w:rsid w:val="40E165AE"/>
    <w:rsid w:val="415D3E87"/>
    <w:rsid w:val="42B07FE6"/>
    <w:rsid w:val="43472988"/>
    <w:rsid w:val="435713C8"/>
    <w:rsid w:val="44FA19ED"/>
    <w:rsid w:val="462C3E28"/>
    <w:rsid w:val="47D12E89"/>
    <w:rsid w:val="489B7043"/>
    <w:rsid w:val="49471751"/>
    <w:rsid w:val="49861AA1"/>
    <w:rsid w:val="4ABB1C1E"/>
    <w:rsid w:val="4B821B6C"/>
    <w:rsid w:val="4BB1696A"/>
    <w:rsid w:val="4C4C7D5E"/>
    <w:rsid w:val="4C6F0F12"/>
    <w:rsid w:val="4DF25BEE"/>
    <w:rsid w:val="4F8C5937"/>
    <w:rsid w:val="4F9930B6"/>
    <w:rsid w:val="5003209D"/>
    <w:rsid w:val="50C75131"/>
    <w:rsid w:val="51100E1C"/>
    <w:rsid w:val="51972E41"/>
    <w:rsid w:val="521A547C"/>
    <w:rsid w:val="52F7756C"/>
    <w:rsid w:val="530C64B4"/>
    <w:rsid w:val="54040192"/>
    <w:rsid w:val="54316AAD"/>
    <w:rsid w:val="546B6463"/>
    <w:rsid w:val="54DE4E87"/>
    <w:rsid w:val="54FE72D7"/>
    <w:rsid w:val="556958FB"/>
    <w:rsid w:val="55CF4F35"/>
    <w:rsid w:val="58030761"/>
    <w:rsid w:val="58FF717A"/>
    <w:rsid w:val="5988716F"/>
    <w:rsid w:val="59A10231"/>
    <w:rsid w:val="59EF01F6"/>
    <w:rsid w:val="5A307F33"/>
    <w:rsid w:val="5C313AEE"/>
    <w:rsid w:val="5D417D61"/>
    <w:rsid w:val="5D8006A9"/>
    <w:rsid w:val="5E22541C"/>
    <w:rsid w:val="5E503822"/>
    <w:rsid w:val="602D0A71"/>
    <w:rsid w:val="60E43825"/>
    <w:rsid w:val="616404C2"/>
    <w:rsid w:val="61736957"/>
    <w:rsid w:val="620D2908"/>
    <w:rsid w:val="64422B9D"/>
    <w:rsid w:val="64CA12A7"/>
    <w:rsid w:val="653B3C30"/>
    <w:rsid w:val="661C009D"/>
    <w:rsid w:val="669850A6"/>
    <w:rsid w:val="681A7B2C"/>
    <w:rsid w:val="68534DEC"/>
    <w:rsid w:val="68B25FB7"/>
    <w:rsid w:val="6931512E"/>
    <w:rsid w:val="6B4B624F"/>
    <w:rsid w:val="6B5670CE"/>
    <w:rsid w:val="6BBF6778"/>
    <w:rsid w:val="6BC93D43"/>
    <w:rsid w:val="6C855C8C"/>
    <w:rsid w:val="6CC91B21"/>
    <w:rsid w:val="6CE54BAD"/>
    <w:rsid w:val="6DFA4688"/>
    <w:rsid w:val="6E641B01"/>
    <w:rsid w:val="6EA840E4"/>
    <w:rsid w:val="6EEE3485"/>
    <w:rsid w:val="6F0B01CF"/>
    <w:rsid w:val="6F5B5AA7"/>
    <w:rsid w:val="702A6D7B"/>
    <w:rsid w:val="720F6228"/>
    <w:rsid w:val="732B0E40"/>
    <w:rsid w:val="73465C7A"/>
    <w:rsid w:val="73685BF0"/>
    <w:rsid w:val="74C90910"/>
    <w:rsid w:val="75D02172"/>
    <w:rsid w:val="76E531D6"/>
    <w:rsid w:val="77F9150C"/>
    <w:rsid w:val="782D7CC0"/>
    <w:rsid w:val="7B0F3635"/>
    <w:rsid w:val="7B7F7163"/>
    <w:rsid w:val="7B846902"/>
    <w:rsid w:val="7CAA54CB"/>
    <w:rsid w:val="7CB4634A"/>
    <w:rsid w:val="7D9A5540"/>
    <w:rsid w:val="7E7825A9"/>
    <w:rsid w:val="7E933D3D"/>
    <w:rsid w:val="7F1B7FBA"/>
    <w:rsid w:val="7FD12D6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qFormat="1"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5"/>
    <w:autoRedefine/>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11">
    <w:name w:val="Default Paragraph Font"/>
    <w:autoRedefine/>
    <w:semiHidden/>
    <w:qFormat/>
    <w:uiPriority w:val="99"/>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4">
    <w:name w:val="Body Text"/>
    <w:basedOn w:val="1"/>
    <w:next w:val="2"/>
    <w:unhideWhenUsed/>
    <w:qFormat/>
    <w:uiPriority w:val="99"/>
    <w:pPr>
      <w:spacing w:after="120"/>
    </w:pPr>
    <w:rPr>
      <w:rFonts w:ascii="Times New Roman" w:hAnsi="Times New Roman"/>
    </w:rPr>
  </w:style>
  <w:style w:type="paragraph" w:styleId="5">
    <w:name w:val="toc 3"/>
    <w:basedOn w:val="1"/>
    <w:next w:val="1"/>
    <w:autoRedefine/>
    <w:qFormat/>
    <w:locked/>
    <w:uiPriority w:val="0"/>
    <w:pPr>
      <w:ind w:left="420"/>
    </w:pPr>
    <w:rPr>
      <w:rFonts w:ascii="等线" w:hAnsi="等线" w:eastAsia="等线"/>
      <w:b/>
      <w:sz w:val="30"/>
      <w:szCs w:val="30"/>
    </w:rPr>
  </w:style>
  <w:style w:type="paragraph" w:styleId="6">
    <w:name w:val="footer"/>
    <w:basedOn w:val="1"/>
    <w:autoRedefine/>
    <w:semiHidden/>
    <w:unhideWhenUsed/>
    <w:qFormat/>
    <w:uiPriority w:val="99"/>
    <w:pPr>
      <w:tabs>
        <w:tab w:val="center" w:pos="4153"/>
        <w:tab w:val="right" w:pos="8306"/>
      </w:tabs>
      <w:snapToGrid w:val="0"/>
      <w:jc w:val="left"/>
    </w:pPr>
    <w:rPr>
      <w:sz w:val="18"/>
    </w:rPr>
  </w:style>
  <w:style w:type="paragraph" w:styleId="7">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semiHidden/>
    <w:unhideWhenUsed/>
    <w:qFormat/>
    <w:uiPriority w:val="99"/>
    <w:rPr>
      <w:sz w:val="24"/>
    </w:rPr>
  </w:style>
  <w:style w:type="table" w:styleId="10">
    <w:name w:val="Table Grid"/>
    <w:basedOn w:val="9"/>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99"/>
    <w:rPr>
      <w:rFonts w:cs="Times New Roman"/>
      <w:b/>
      <w:bCs/>
    </w:rPr>
  </w:style>
  <w:style w:type="character" w:styleId="13">
    <w:name w:val="page number"/>
    <w:basedOn w:val="11"/>
    <w:autoRedefine/>
    <w:qFormat/>
    <w:uiPriority w:val="0"/>
  </w:style>
  <w:style w:type="character" w:styleId="14">
    <w:name w:val="Hyperlink"/>
    <w:basedOn w:val="11"/>
    <w:autoRedefine/>
    <w:qFormat/>
    <w:uiPriority w:val="0"/>
    <w:rPr>
      <w:color w:val="0000FF"/>
      <w:u w:val="single"/>
    </w:rPr>
  </w:style>
  <w:style w:type="character" w:customStyle="1" w:styleId="15">
    <w:name w:val="Heading 2 Char"/>
    <w:basedOn w:val="11"/>
    <w:link w:val="3"/>
    <w:autoRedefine/>
    <w:qFormat/>
    <w:locked/>
    <w:uiPriority w:val="9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2557</Words>
  <Characters>2606</Characters>
  <Lines>0</Lines>
  <Paragraphs>0</Paragraphs>
  <TotalTime>12</TotalTime>
  <ScaleCrop>false</ScaleCrop>
  <LinksUpToDate>false</LinksUpToDate>
  <CharactersWithSpaces>2655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2021-04-09T01:13:00Z</dcterms:created>
  <dc:creator>李华楠</dc:creator>
  <cp:lastModifiedBy>gf</cp:lastModifiedBy>
  <cp:lastPrinted>2025-01-17T08:47:00Z</cp:lastPrinted>
  <dcterms:modified xsi:type="dcterms:W3CDTF">2025-03-28T06:03:07Z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CF7EBD205C6E45AC9904F4C596B80532</vt:lpwstr>
  </property>
  <property fmtid="{D5CDD505-2E9C-101B-9397-08002B2CF9AE}" pid="4" name="KSOTemplateDocerSaveRecord">
    <vt:lpwstr>eyJoZGlkIjoiZjJlYTA2ZmUzZDNhMzc0YzE5YWU5YTM1MGY5MWI5N2QifQ==</vt:lpwstr>
  </property>
</Properties>
</file>