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5E262">
      <w:pPr>
        <w:spacing w:line="1400" w:lineRule="exact"/>
        <w:jc w:val="center"/>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庄河市科技和工业信息化局</w:t>
      </w:r>
    </w:p>
    <w:p w14:paraId="1598DE4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方正小标宋简体" w:cs="仿宋_GB2312"/>
          <w:snapToGrid w:val="0"/>
          <w:sz w:val="32"/>
          <w:szCs w:val="32"/>
          <w:highlight w:val="none"/>
          <w:lang w:eastAsia="zh-CN"/>
        </w:rPr>
      </w:pPr>
      <w:r>
        <w:rPr>
          <w:rFonts w:hint="eastAsia" w:ascii="方正小标宋简体" w:hAnsi="方正小标宋简体" w:eastAsia="方正小标宋简体" w:cs="方正小标宋简体"/>
          <w:b w:val="0"/>
          <w:bCs w:val="0"/>
          <w:color w:val="auto"/>
          <w:sz w:val="44"/>
          <w:szCs w:val="44"/>
        </w:rPr>
        <w:t>202</w:t>
      </w:r>
      <w:r>
        <w:rPr>
          <w:rFonts w:hint="eastAsia" w:ascii="方正小标宋简体" w:hAnsi="方正小标宋简体" w:eastAsia="方正小标宋简体" w:cs="方正小标宋简体"/>
          <w:b w:val="0"/>
          <w:bCs w:val="0"/>
          <w:color w:val="auto"/>
          <w:sz w:val="44"/>
          <w:szCs w:val="44"/>
          <w:lang w:val="en-US" w:eastAsia="zh-CN"/>
        </w:rPr>
        <w:t>4</w:t>
      </w:r>
      <w:r>
        <w:rPr>
          <w:rFonts w:hint="eastAsia" w:ascii="方正小标宋简体" w:hAnsi="方正小标宋简体" w:eastAsia="方正小标宋简体" w:cs="方正小标宋简体"/>
          <w:b w:val="0"/>
          <w:bCs w:val="0"/>
          <w:color w:val="auto"/>
          <w:sz w:val="44"/>
          <w:szCs w:val="44"/>
        </w:rPr>
        <w:t>年法治政府建设</w:t>
      </w:r>
      <w:r>
        <w:rPr>
          <w:rFonts w:hint="eastAsia" w:ascii="方正小标宋简体" w:hAnsi="方正小标宋简体" w:eastAsia="方正小标宋简体" w:cs="方正小标宋简体"/>
          <w:b w:val="0"/>
          <w:bCs w:val="0"/>
          <w:color w:val="auto"/>
          <w:sz w:val="44"/>
          <w:szCs w:val="44"/>
          <w:lang w:eastAsia="zh-CN"/>
        </w:rPr>
        <w:t>情况报告</w:t>
      </w:r>
    </w:p>
    <w:p w14:paraId="4BDCEA15">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仿宋_GB2312" w:hAnsi="仿宋_GB2312" w:eastAsia="仿宋_GB2312" w:cs="仿宋_GB2312"/>
          <w:snapToGrid w:val="0"/>
          <w:sz w:val="32"/>
          <w:szCs w:val="32"/>
          <w:highlight w:val="none"/>
        </w:rPr>
      </w:pPr>
    </w:p>
    <w:p w14:paraId="1D7ED9A8">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napToGrid w:val="0"/>
          <w:sz w:val="32"/>
          <w:szCs w:val="32"/>
          <w:highlight w:val="none"/>
        </w:rPr>
        <w:t>中共</w:t>
      </w:r>
      <w:r>
        <w:rPr>
          <w:rFonts w:hint="eastAsia" w:ascii="仿宋_GB2312" w:hAnsi="仿宋_GB2312" w:eastAsia="仿宋_GB2312" w:cs="仿宋_GB2312"/>
          <w:snapToGrid w:val="0"/>
          <w:sz w:val="32"/>
          <w:szCs w:val="32"/>
          <w:highlight w:val="none"/>
          <w:lang w:eastAsia="zh-CN"/>
        </w:rPr>
        <w:t>庄河</w:t>
      </w:r>
      <w:r>
        <w:rPr>
          <w:rFonts w:hint="eastAsia" w:ascii="仿宋_GB2312" w:hAnsi="仿宋_GB2312" w:eastAsia="仿宋_GB2312" w:cs="仿宋_GB2312"/>
          <w:snapToGrid w:val="0"/>
          <w:sz w:val="32"/>
          <w:szCs w:val="32"/>
          <w:highlight w:val="none"/>
        </w:rPr>
        <w:t>市</w:t>
      </w:r>
      <w:r>
        <w:rPr>
          <w:rFonts w:hint="eastAsia" w:ascii="仿宋_GB2312" w:hAnsi="仿宋_GB2312" w:eastAsia="仿宋_GB2312" w:cs="仿宋_GB2312"/>
          <w:snapToGrid w:val="0"/>
          <w:sz w:val="32"/>
          <w:szCs w:val="32"/>
          <w:highlight w:val="none"/>
          <w:lang w:eastAsia="zh-CN"/>
        </w:rPr>
        <w:t>人民政府</w:t>
      </w:r>
      <w:r>
        <w:rPr>
          <w:rFonts w:hint="eastAsia" w:ascii="仿宋_GB2312" w:hAnsi="仿宋_GB2312" w:eastAsia="仿宋_GB2312" w:cs="仿宋_GB2312"/>
          <w:color w:val="auto"/>
          <w:sz w:val="32"/>
          <w:szCs w:val="32"/>
          <w:lang w:val="en-US" w:eastAsia="zh-CN"/>
        </w:rPr>
        <w:t>：</w:t>
      </w:r>
    </w:p>
    <w:p w14:paraId="7557FA8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color w:val="auto"/>
          <w:sz w:val="32"/>
          <w:szCs w:val="32"/>
          <w:lang w:val="en-US" w:eastAsia="zh-CN"/>
        </w:rPr>
        <w:t>2024年，科工局在市</w:t>
      </w:r>
      <w:bookmarkStart w:id="0" w:name="_GoBack"/>
      <w:bookmarkEnd w:id="0"/>
      <w:r>
        <w:rPr>
          <w:rFonts w:hint="eastAsia" w:ascii="仿宋_GB2312" w:hAnsi="仿宋_GB2312" w:eastAsia="仿宋_GB2312" w:cs="仿宋_GB2312"/>
          <w:color w:val="auto"/>
          <w:sz w:val="32"/>
          <w:szCs w:val="32"/>
          <w:lang w:val="en-US" w:eastAsia="zh-CN"/>
        </w:rPr>
        <w:t>委、市政府领导下，</w:t>
      </w:r>
      <w:r>
        <w:rPr>
          <w:rFonts w:hint="eastAsia" w:ascii="仿宋_GB2312" w:hAnsi="仿宋_GB2312" w:eastAsia="仿宋_GB2312" w:cs="仿宋_GB2312"/>
          <w:color w:val="auto"/>
          <w:sz w:val="32"/>
          <w:szCs w:val="32"/>
        </w:rPr>
        <w:t>对照</w:t>
      </w:r>
      <w:r>
        <w:rPr>
          <w:rFonts w:hint="eastAsia" w:ascii="仿宋_GB2312" w:hAnsi="仿宋_GB2312" w:eastAsia="仿宋_GB2312" w:cs="仿宋_GB2312"/>
          <w:color w:val="auto"/>
          <w:sz w:val="32"/>
          <w:szCs w:val="32"/>
          <w:lang w:val="en-US" w:eastAsia="zh-CN"/>
        </w:rPr>
        <w:t>《庄河市2024年推进法治政府建设十项 重点任务》</w:t>
      </w:r>
      <w:r>
        <w:rPr>
          <w:rFonts w:hint="eastAsia" w:ascii="仿宋_GB2312" w:hAnsi="仿宋_GB2312" w:eastAsia="仿宋_GB2312" w:cs="仿宋_GB2312"/>
          <w:color w:val="auto"/>
          <w:sz w:val="32"/>
          <w:szCs w:val="32"/>
        </w:rPr>
        <w:t>《庄河市贯彻落实〈法治政府建设实施纲要</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2021—2025年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〉重要任务举措分工方案》完成情况，根据自身</w:t>
      </w:r>
      <w:r>
        <w:rPr>
          <w:rFonts w:hint="eastAsia" w:ascii="仿宋_GB2312" w:hAnsi="仿宋_GB2312" w:eastAsia="仿宋_GB2312" w:cs="仿宋_GB2312"/>
          <w:i w:val="0"/>
          <w:iCs w:val="0"/>
          <w:caps w:val="0"/>
          <w:color w:val="auto"/>
          <w:spacing w:val="0"/>
          <w:sz w:val="32"/>
          <w:szCs w:val="32"/>
          <w:shd w:val="clear" w:fill="FFFFFF"/>
        </w:rPr>
        <w:t>，围绕</w:t>
      </w:r>
      <w:r>
        <w:rPr>
          <w:rFonts w:hint="eastAsia" w:ascii="仿宋_GB2312" w:hAnsi="仿宋_GB2312" w:eastAsia="仿宋_GB2312" w:cs="仿宋_GB2312"/>
          <w:i w:val="0"/>
          <w:iCs w:val="0"/>
          <w:caps w:val="0"/>
          <w:color w:val="auto"/>
          <w:spacing w:val="0"/>
          <w:sz w:val="32"/>
          <w:szCs w:val="32"/>
          <w:shd w:val="clear" w:fill="FFFFFF"/>
          <w:lang w:val="en-US" w:eastAsia="zh-CN"/>
        </w:rPr>
        <w:t>主要</w:t>
      </w:r>
      <w:r>
        <w:rPr>
          <w:rFonts w:hint="eastAsia" w:ascii="仿宋_GB2312" w:hAnsi="仿宋_GB2312" w:eastAsia="仿宋_GB2312" w:cs="仿宋_GB2312"/>
          <w:i w:val="0"/>
          <w:iCs w:val="0"/>
          <w:caps w:val="0"/>
          <w:color w:val="auto"/>
          <w:spacing w:val="0"/>
          <w:sz w:val="32"/>
          <w:szCs w:val="32"/>
          <w:shd w:val="clear" w:fill="FFFFFF"/>
        </w:rPr>
        <w:t>工作，扎实开展法治政府建设。具体工作情况报告如下：</w:t>
      </w:r>
    </w:p>
    <w:p w14:paraId="5D5BDEB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Style w:val="13"/>
          <w:rFonts w:hint="eastAsia" w:ascii="黑体" w:hAnsi="黑体" w:eastAsia="黑体" w:cs="黑体"/>
          <w:b w:val="0"/>
          <w:bCs w:val="0"/>
          <w:i w:val="0"/>
          <w:iCs w:val="0"/>
          <w:caps w:val="0"/>
          <w:color w:val="auto"/>
          <w:spacing w:val="0"/>
          <w:sz w:val="32"/>
          <w:szCs w:val="32"/>
          <w:shd w:val="clear" w:fill="FFFFFF"/>
        </w:rPr>
      </w:pPr>
      <w:r>
        <w:rPr>
          <w:rStyle w:val="13"/>
          <w:rFonts w:hint="eastAsia" w:ascii="黑体" w:hAnsi="黑体" w:eastAsia="黑体" w:cs="黑体"/>
          <w:b w:val="0"/>
          <w:bCs w:val="0"/>
          <w:i w:val="0"/>
          <w:iCs w:val="0"/>
          <w:caps w:val="0"/>
          <w:color w:val="auto"/>
          <w:spacing w:val="0"/>
          <w:sz w:val="32"/>
          <w:szCs w:val="32"/>
          <w:shd w:val="clear" w:fill="FFFFFF"/>
        </w:rPr>
        <w:t>一、202</w:t>
      </w:r>
      <w:r>
        <w:rPr>
          <w:rStyle w:val="13"/>
          <w:rFonts w:hint="eastAsia" w:ascii="黑体" w:hAnsi="黑体" w:eastAsia="黑体" w:cs="黑体"/>
          <w:b w:val="0"/>
          <w:bCs w:val="0"/>
          <w:i w:val="0"/>
          <w:iCs w:val="0"/>
          <w:caps w:val="0"/>
          <w:color w:val="auto"/>
          <w:spacing w:val="0"/>
          <w:sz w:val="32"/>
          <w:szCs w:val="32"/>
          <w:shd w:val="clear" w:fill="FFFFFF"/>
          <w:lang w:val="en-US" w:eastAsia="zh-CN"/>
        </w:rPr>
        <w:t>4</w:t>
      </w:r>
      <w:r>
        <w:rPr>
          <w:rStyle w:val="13"/>
          <w:rFonts w:hint="eastAsia" w:ascii="黑体" w:hAnsi="黑体" w:eastAsia="黑体" w:cs="黑体"/>
          <w:b w:val="0"/>
          <w:bCs w:val="0"/>
          <w:i w:val="0"/>
          <w:iCs w:val="0"/>
          <w:caps w:val="0"/>
          <w:color w:val="auto"/>
          <w:spacing w:val="0"/>
          <w:sz w:val="32"/>
          <w:szCs w:val="32"/>
          <w:shd w:val="clear" w:fill="FFFFFF"/>
        </w:rPr>
        <w:t>年推进法治政府建设的主要措施和成效</w:t>
      </w:r>
    </w:p>
    <w:p w14:paraId="569AEB4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rightChars="0" w:firstLine="640" w:firstLineChars="200"/>
        <w:jc w:val="both"/>
        <w:textAlignment w:val="auto"/>
        <w:rPr>
          <w:rFonts w:hint="eastAsia" w:ascii="楷体_GB2312" w:hAnsi="楷体_GB2312" w:eastAsia="楷体_GB2312" w:cs="楷体_GB2312"/>
          <w:b w:val="0"/>
          <w:bCs w:val="0"/>
          <w:i w:val="0"/>
          <w:iCs w:val="0"/>
          <w:caps w:val="0"/>
          <w:color w:val="auto"/>
          <w:spacing w:val="0"/>
          <w:sz w:val="32"/>
          <w:szCs w:val="32"/>
        </w:rPr>
      </w:pPr>
      <w:r>
        <w:rPr>
          <w:rStyle w:val="13"/>
          <w:rFonts w:hint="eastAsia" w:ascii="楷体_GB2312" w:hAnsi="楷体_GB2312" w:eastAsia="楷体_GB2312" w:cs="楷体_GB2312"/>
          <w:b w:val="0"/>
          <w:bCs w:val="0"/>
          <w:i w:val="0"/>
          <w:iCs w:val="0"/>
          <w:caps w:val="0"/>
          <w:color w:val="auto"/>
          <w:spacing w:val="0"/>
          <w:sz w:val="32"/>
          <w:szCs w:val="32"/>
          <w:shd w:val="clear" w:fill="FFFFFF"/>
          <w:lang w:eastAsia="zh-CN"/>
        </w:rPr>
        <w:t>（</w:t>
      </w:r>
      <w:r>
        <w:rPr>
          <w:rStyle w:val="13"/>
          <w:rFonts w:hint="eastAsia" w:ascii="楷体_GB2312" w:hAnsi="楷体_GB2312" w:eastAsia="楷体_GB2312" w:cs="楷体_GB2312"/>
          <w:b w:val="0"/>
          <w:bCs w:val="0"/>
          <w:i w:val="0"/>
          <w:iCs w:val="0"/>
          <w:caps w:val="0"/>
          <w:color w:val="auto"/>
          <w:spacing w:val="0"/>
          <w:sz w:val="32"/>
          <w:szCs w:val="32"/>
          <w:shd w:val="clear" w:fill="FFFFFF"/>
          <w:lang w:val="en-US" w:eastAsia="zh-CN"/>
        </w:rPr>
        <w:t>一</w:t>
      </w:r>
      <w:r>
        <w:rPr>
          <w:rStyle w:val="13"/>
          <w:rFonts w:hint="eastAsia" w:ascii="楷体_GB2312" w:hAnsi="楷体_GB2312" w:eastAsia="楷体_GB2312" w:cs="楷体_GB2312"/>
          <w:b w:val="0"/>
          <w:bCs w:val="0"/>
          <w:i w:val="0"/>
          <w:iCs w:val="0"/>
          <w:caps w:val="0"/>
          <w:color w:val="auto"/>
          <w:spacing w:val="0"/>
          <w:sz w:val="32"/>
          <w:szCs w:val="32"/>
          <w:shd w:val="clear" w:fill="FFFFFF"/>
          <w:lang w:eastAsia="zh-CN"/>
        </w:rPr>
        <w:t>）</w:t>
      </w:r>
      <w:r>
        <w:rPr>
          <w:rStyle w:val="13"/>
          <w:rFonts w:hint="eastAsia" w:ascii="楷体_GB2312" w:hAnsi="楷体_GB2312" w:eastAsia="楷体_GB2312" w:cs="楷体_GB2312"/>
          <w:b w:val="0"/>
          <w:bCs w:val="0"/>
          <w:i w:val="0"/>
          <w:iCs w:val="0"/>
          <w:caps w:val="0"/>
          <w:color w:val="auto"/>
          <w:spacing w:val="0"/>
          <w:sz w:val="32"/>
          <w:szCs w:val="32"/>
          <w:shd w:val="clear" w:fill="FFFFFF"/>
        </w:rPr>
        <w:t>组织保障和机制落实情况</w:t>
      </w:r>
    </w:p>
    <w:p w14:paraId="5760B90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建立法治政府建设工作领导小组，形成主要领导负责抓，分管领导具体抓，相关科室配合抓的工作局面，切实加强对法治政府建设工作的领导。规范行政行为全面提升依法行政能力。党组定期专题研究法治建设工作情况，认真谋划和落实各项工作任务，确保法治政府建设各项决策部署落到实处。</w:t>
      </w:r>
    </w:p>
    <w:p w14:paraId="3464F80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rightChars="0" w:firstLine="640" w:firstLineChars="200"/>
        <w:jc w:val="both"/>
        <w:textAlignment w:val="auto"/>
        <w:rPr>
          <w:rFonts w:ascii="Arial" w:hAnsi="Arial" w:eastAsia="宋体" w:cs="Arial"/>
          <w:i w:val="0"/>
          <w:iCs w:val="0"/>
          <w:caps w:val="0"/>
          <w:color w:val="auto"/>
          <w:spacing w:val="0"/>
          <w:sz w:val="24"/>
          <w:szCs w:val="24"/>
          <w:shd w:val="clear" w:fill="FFFFFF"/>
        </w:rPr>
      </w:pPr>
      <w:r>
        <w:rPr>
          <w:rStyle w:val="13"/>
          <w:rFonts w:hint="eastAsia" w:ascii="楷体_GB2312" w:hAnsi="楷体_GB2312" w:eastAsia="楷体_GB2312" w:cs="楷体_GB2312"/>
          <w:b w:val="0"/>
          <w:bCs w:val="0"/>
          <w:i w:val="0"/>
          <w:iCs w:val="0"/>
          <w:caps w:val="0"/>
          <w:color w:val="auto"/>
          <w:spacing w:val="0"/>
          <w:sz w:val="32"/>
          <w:szCs w:val="32"/>
          <w:shd w:val="clear" w:fill="FFFFFF"/>
        </w:rPr>
        <w:t>（</w:t>
      </w:r>
      <w:r>
        <w:rPr>
          <w:rStyle w:val="13"/>
          <w:rFonts w:hint="eastAsia" w:ascii="楷体_GB2312" w:hAnsi="楷体_GB2312" w:eastAsia="楷体_GB2312" w:cs="楷体_GB2312"/>
          <w:b w:val="0"/>
          <w:bCs w:val="0"/>
          <w:i w:val="0"/>
          <w:iCs w:val="0"/>
          <w:caps w:val="0"/>
          <w:color w:val="auto"/>
          <w:spacing w:val="0"/>
          <w:sz w:val="32"/>
          <w:szCs w:val="32"/>
          <w:shd w:val="clear" w:fill="FFFFFF"/>
          <w:lang w:val="en-US" w:eastAsia="zh-CN"/>
        </w:rPr>
        <w:t>二</w:t>
      </w:r>
      <w:r>
        <w:rPr>
          <w:rStyle w:val="13"/>
          <w:rFonts w:hint="eastAsia" w:ascii="楷体_GB2312" w:hAnsi="楷体_GB2312" w:eastAsia="楷体_GB2312" w:cs="楷体_GB2312"/>
          <w:b w:val="0"/>
          <w:bCs w:val="0"/>
          <w:i w:val="0"/>
          <w:iCs w:val="0"/>
          <w:caps w:val="0"/>
          <w:color w:val="auto"/>
          <w:spacing w:val="0"/>
          <w:sz w:val="32"/>
          <w:szCs w:val="32"/>
          <w:shd w:val="clear" w:fill="FFFFFF"/>
        </w:rPr>
        <w:t>）</w:t>
      </w:r>
      <w:r>
        <w:rPr>
          <w:rStyle w:val="13"/>
          <w:rFonts w:hint="eastAsia" w:ascii="楷体_GB2312" w:hAnsi="楷体_GB2312" w:eastAsia="楷体_GB2312" w:cs="楷体_GB2312"/>
          <w:b w:val="0"/>
          <w:bCs w:val="0"/>
          <w:i w:val="0"/>
          <w:iCs w:val="0"/>
          <w:caps w:val="0"/>
          <w:color w:val="auto"/>
          <w:spacing w:val="0"/>
          <w:sz w:val="32"/>
          <w:szCs w:val="32"/>
          <w:shd w:val="clear" w:fill="FFFFFF"/>
          <w:lang w:val="en-US" w:eastAsia="zh-CN"/>
        </w:rPr>
        <w:t>加强法制队伍建设</w:t>
      </w:r>
    </w:p>
    <w:p w14:paraId="70B9F8D7">
      <w:pPr>
        <w:keepNext w:val="0"/>
        <w:keepLines w:val="0"/>
        <w:pageBreakBefore w:val="0"/>
        <w:numPr>
          <w:ilvl w:val="0"/>
          <w:numId w:val="0"/>
        </w:numPr>
        <w:kinsoku/>
        <w:wordWrap/>
        <w:overflowPunct/>
        <w:topLinePunct w:val="0"/>
        <w:autoSpaceDE/>
        <w:autoSpaceDN/>
        <w:bidi w:val="0"/>
        <w:spacing w:line="600" w:lineRule="exact"/>
        <w:ind w:firstLine="640" w:firstLineChars="200"/>
        <w:jc w:val="both"/>
        <w:textAlignment w:val="auto"/>
        <w:rPr>
          <w:rFonts w:hint="eastAsia" w:ascii="仿宋_GB2312" w:eastAsia="仿宋_GB2312"/>
          <w:color w:val="auto"/>
          <w:sz w:val="32"/>
          <w:szCs w:val="32"/>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1.</w:t>
      </w:r>
      <w:r>
        <w:rPr>
          <w:rFonts w:hint="eastAsia" w:ascii="仿宋_GB2312" w:hAnsi="仿宋_GB2312" w:eastAsia="仿宋_GB2312" w:cs="仿宋_GB2312"/>
          <w:color w:val="auto"/>
          <w:sz w:val="32"/>
          <w:szCs w:val="32"/>
          <w:lang w:val="en-US" w:eastAsia="zh-CN"/>
        </w:rPr>
        <w:t>深入学习贯彻习近平法治思想。</w:t>
      </w:r>
      <w:r>
        <w:rPr>
          <w:rFonts w:hint="eastAsia" w:ascii="仿宋_GB2312" w:eastAsia="仿宋_GB2312"/>
          <w:color w:val="auto"/>
          <w:sz w:val="32"/>
          <w:szCs w:val="32"/>
          <w:lang w:val="en-US" w:eastAsia="zh-CN"/>
        </w:rPr>
        <w:t>科工局领导班子高度重视法治思想学习，党组理论学习中心组将学习习近平法治思想纳入学习计划，2024年开展2次习近平法治思想宣讲，组织1次习近平法治思想党课，组织全体机关干部共计23人参加，常态化组织学习各类法律法规。</w:t>
      </w:r>
    </w:p>
    <w:p w14:paraId="5CA0CB01">
      <w:pPr>
        <w:pStyle w:val="2"/>
        <w:spacing w:before="150" w:line="311" w:lineRule="auto"/>
        <w:ind w:right="200" w:firstLine="640" w:firstLineChars="200"/>
        <w:rPr>
          <w:rFonts w:hint="default" w:ascii="仿宋_GB2312" w:hAnsi="仿宋_GB2312" w:eastAsia="仿宋_GB2312" w:cs="仿宋_GB2312"/>
          <w:i w:val="0"/>
          <w:iCs w:val="0"/>
          <w:caps w:val="0"/>
          <w:color w:val="auto"/>
          <w:spacing w:val="0"/>
          <w:sz w:val="32"/>
          <w:szCs w:val="32"/>
          <w:highlight w:val="yellow"/>
          <w:shd w:val="clear" w:fill="FFFFFF"/>
          <w:lang w:val="en-US" w:eastAsia="zh-CN"/>
        </w:rPr>
      </w:pPr>
      <w:r>
        <w:rPr>
          <w:rFonts w:hint="eastAsia" w:ascii="仿宋_GB2312" w:hAnsi="仿宋_GB2312" w:eastAsia="仿宋_GB2312" w:cs="仿宋_GB2312"/>
          <w:i w:val="0"/>
          <w:iCs w:val="0"/>
          <w:caps w:val="0"/>
          <w:color w:val="auto"/>
          <w:spacing w:val="0"/>
          <w:kern w:val="2"/>
          <w:sz w:val="32"/>
          <w:szCs w:val="32"/>
          <w:shd w:val="clear" w:color="auto" w:fill="FFFFFF"/>
          <w:lang w:val="en-US" w:eastAsia="zh-CN" w:bidi="ar-SA"/>
        </w:rPr>
        <w:t>2.加强执法队伍建设。</w:t>
      </w:r>
      <w:r>
        <w:rPr>
          <w:rFonts w:hint="eastAsia" w:ascii="仿宋_GB2312" w:hAnsi="仿宋_GB2312" w:eastAsia="仿宋_GB2312" w:cs="仿宋_GB2312"/>
          <w:color w:val="auto"/>
          <w:sz w:val="32"/>
          <w:szCs w:val="32"/>
          <w:highlight w:val="none"/>
          <w:lang w:val="en-US" w:eastAsia="zh-CN"/>
        </w:rPr>
        <w:t>科工局通过行政执法考试共6人，</w:t>
      </w:r>
      <w:r>
        <w:rPr>
          <w:rFonts w:hint="eastAsia" w:ascii="仿宋_GB2312" w:hAnsi="仿宋_GB2312" w:eastAsia="仿宋_GB2312" w:cs="仿宋_GB2312"/>
          <w:kern w:val="0"/>
          <w:sz w:val="32"/>
          <w:szCs w:val="32"/>
          <w:highlight w:val="none"/>
          <w:lang w:val="en-US" w:eastAsia="zh-CN" w:bidi="ar"/>
        </w:rPr>
        <w:t>在司法部网站行政执法学习24学时，参加庄</w:t>
      </w:r>
      <w:r>
        <w:rPr>
          <w:rFonts w:hint="eastAsia" w:ascii="仿宋_GB2312" w:hAnsi="仿宋_GB2312" w:eastAsia="仿宋_GB2312" w:cs="仿宋_GB2312"/>
          <w:kern w:val="0"/>
          <w:sz w:val="32"/>
          <w:szCs w:val="32"/>
          <w:lang w:val="en-US" w:eastAsia="zh-CN" w:bidi="ar"/>
        </w:rPr>
        <w:t>河市2024年行政执法网络培训班学习30学时，参与线下执法学习10学时，全年累计参加执法培训学习64学时。</w:t>
      </w:r>
    </w:p>
    <w:p w14:paraId="25DEC19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rightChars="0" w:firstLine="640" w:firstLineChars="200"/>
        <w:jc w:val="both"/>
        <w:textAlignment w:val="auto"/>
        <w:rPr>
          <w:rFonts w:hint="eastAsia" w:ascii="仿宋_GB2312" w:eastAsia="仿宋_GB2312"/>
          <w:color w:val="auto"/>
          <w:sz w:val="32"/>
          <w:szCs w:val="32"/>
          <w:lang w:val="en-US" w:eastAsia="zh-CN"/>
        </w:rPr>
      </w:pPr>
      <w:r>
        <w:rPr>
          <w:rStyle w:val="13"/>
          <w:rFonts w:hint="eastAsia" w:ascii="楷体_GB2312" w:hAnsi="楷体_GB2312" w:eastAsia="楷体_GB2312" w:cs="楷体_GB2312"/>
          <w:b w:val="0"/>
          <w:bCs w:val="0"/>
          <w:i w:val="0"/>
          <w:iCs w:val="0"/>
          <w:caps w:val="0"/>
          <w:color w:val="auto"/>
          <w:spacing w:val="0"/>
          <w:sz w:val="32"/>
          <w:szCs w:val="32"/>
          <w:shd w:val="clear" w:fill="FFFFFF"/>
          <w:lang w:eastAsia="zh-CN"/>
        </w:rPr>
        <w:t>（</w:t>
      </w:r>
      <w:r>
        <w:rPr>
          <w:rStyle w:val="13"/>
          <w:rFonts w:hint="eastAsia" w:ascii="楷体_GB2312" w:hAnsi="楷体_GB2312" w:eastAsia="楷体_GB2312" w:cs="楷体_GB2312"/>
          <w:b w:val="0"/>
          <w:bCs w:val="0"/>
          <w:i w:val="0"/>
          <w:iCs w:val="0"/>
          <w:caps w:val="0"/>
          <w:color w:val="auto"/>
          <w:spacing w:val="0"/>
          <w:sz w:val="32"/>
          <w:szCs w:val="32"/>
          <w:shd w:val="clear" w:fill="FFFFFF"/>
          <w:lang w:val="en-US" w:eastAsia="zh-CN"/>
        </w:rPr>
        <w:t>三</w:t>
      </w:r>
      <w:r>
        <w:rPr>
          <w:rStyle w:val="13"/>
          <w:rFonts w:hint="eastAsia" w:ascii="楷体_GB2312" w:hAnsi="楷体_GB2312" w:eastAsia="楷体_GB2312" w:cs="楷体_GB2312"/>
          <w:b w:val="0"/>
          <w:bCs w:val="0"/>
          <w:i w:val="0"/>
          <w:iCs w:val="0"/>
          <w:caps w:val="0"/>
          <w:color w:val="auto"/>
          <w:spacing w:val="0"/>
          <w:sz w:val="32"/>
          <w:szCs w:val="32"/>
          <w:shd w:val="clear" w:fill="FFFFFF"/>
          <w:lang w:eastAsia="zh-CN"/>
        </w:rPr>
        <w:t>）</w:t>
      </w:r>
      <w:r>
        <w:rPr>
          <w:rStyle w:val="13"/>
          <w:rFonts w:hint="eastAsia" w:ascii="楷体_GB2312" w:hAnsi="楷体_GB2312" w:eastAsia="楷体_GB2312" w:cs="楷体_GB2312"/>
          <w:b w:val="0"/>
          <w:bCs w:val="0"/>
          <w:i w:val="0"/>
          <w:iCs w:val="0"/>
          <w:caps w:val="0"/>
          <w:color w:val="auto"/>
          <w:spacing w:val="0"/>
          <w:sz w:val="32"/>
          <w:szCs w:val="32"/>
          <w:shd w:val="clear" w:fill="FFFFFF"/>
        </w:rPr>
        <w:t>依法全面履行政府职能，规范行政执法</w:t>
      </w:r>
    </w:p>
    <w:p w14:paraId="3C8F3096">
      <w:pPr>
        <w:keepNext w:val="0"/>
        <w:keepLines w:val="0"/>
        <w:pageBreakBefore w:val="0"/>
        <w:numPr>
          <w:ilvl w:val="0"/>
          <w:numId w:val="0"/>
        </w:numPr>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pacing w:val="2"/>
          <w:sz w:val="32"/>
          <w:szCs w:val="32"/>
          <w:lang w:val="en-US" w:eastAsia="zh-CN"/>
        </w:rPr>
      </w:pPr>
      <w:r>
        <w:rPr>
          <w:rFonts w:hint="eastAsia" w:ascii="仿宋_GB2312" w:hAnsi="仿宋_GB2312" w:eastAsia="仿宋_GB2312" w:cs="仿宋_GB2312"/>
          <w:i w:val="0"/>
          <w:iCs w:val="0"/>
          <w:color w:val="auto"/>
          <w:kern w:val="2"/>
          <w:sz w:val="32"/>
          <w:szCs w:val="32"/>
          <w:lang w:val="en-US" w:eastAsia="zh-CN" w:bidi="ar-SA"/>
        </w:rPr>
        <w:t>1.深化简政放权。</w:t>
      </w:r>
      <w:r>
        <w:rPr>
          <w:rFonts w:hint="eastAsia" w:ascii="仿宋_GB2312" w:eastAsia="仿宋_GB2312"/>
          <w:sz w:val="32"/>
          <w:szCs w:val="32"/>
        </w:rPr>
        <w:t>科工局涉及其他</w:t>
      </w:r>
      <w:r>
        <w:rPr>
          <w:rFonts w:hint="eastAsia" w:ascii="仿宋_GB2312" w:eastAsia="仿宋_GB2312"/>
          <w:sz w:val="32"/>
          <w:szCs w:val="32"/>
          <w:lang w:eastAsia="zh-CN"/>
        </w:rPr>
        <w:t>行政权力</w:t>
      </w:r>
      <w:r>
        <w:rPr>
          <w:rFonts w:hint="eastAsia" w:ascii="仿宋_GB2312" w:eastAsia="仿宋_GB2312"/>
          <w:sz w:val="32"/>
          <w:szCs w:val="32"/>
        </w:rPr>
        <w:t>一项为工业技术改造备案</w:t>
      </w:r>
      <w:r>
        <w:rPr>
          <w:rFonts w:hint="eastAsia" w:ascii="仿宋_GB2312" w:eastAsia="仿宋_GB2312"/>
          <w:sz w:val="32"/>
          <w:szCs w:val="32"/>
          <w:lang w:eastAsia="zh-CN"/>
        </w:rPr>
        <w:t>，</w:t>
      </w:r>
      <w:r>
        <w:rPr>
          <w:rFonts w:hint="eastAsia" w:ascii="仿宋_GB2312" w:eastAsia="仿宋_GB2312"/>
          <w:sz w:val="32"/>
          <w:szCs w:val="32"/>
        </w:rPr>
        <w:t>利用大连政务服务网、大连市一体化在线政务服务平台系统，实现与企业法人“不见面”备案</w:t>
      </w:r>
      <w:r>
        <w:rPr>
          <w:rFonts w:hint="eastAsia" w:ascii="仿宋_GB2312" w:eastAsia="仿宋_GB2312"/>
          <w:sz w:val="32"/>
          <w:szCs w:val="32"/>
          <w:lang w:eastAsia="zh-CN"/>
        </w:rPr>
        <w:t>，</w:t>
      </w:r>
      <w:r>
        <w:rPr>
          <w:rFonts w:hint="eastAsia" w:ascii="仿宋_GB2312" w:hAnsi="仿宋_GB2312" w:eastAsia="仿宋_GB2312" w:cs="仿宋_GB2312"/>
          <w:b w:val="0"/>
          <w:bCs w:val="0"/>
          <w:spacing w:val="2"/>
          <w:sz w:val="32"/>
          <w:szCs w:val="32"/>
          <w:lang w:val="en-US" w:eastAsia="zh-CN"/>
        </w:rPr>
        <w:t>全力推动政务服务运行标准化、服务供给规范化、企业群众办事便利化建设。</w:t>
      </w:r>
    </w:p>
    <w:p w14:paraId="3416F177">
      <w:pPr>
        <w:pStyle w:val="2"/>
        <w:keepNext w:val="0"/>
        <w:keepLines w:val="0"/>
        <w:pageBreakBefore w:val="0"/>
        <w:kinsoku/>
        <w:wordWrap/>
        <w:overflowPunct/>
        <w:topLinePunct w:val="0"/>
        <w:autoSpaceDE/>
        <w:autoSpaceDN/>
        <w:bidi w:val="0"/>
        <w:adjustRightInd/>
        <w:snapToGrid/>
        <w:spacing w:line="600" w:lineRule="exact"/>
        <w:ind w:right="0" w:firstLine="648" w:firstLineChars="200"/>
        <w:jc w:val="both"/>
        <w:textAlignment w:val="auto"/>
        <w:rPr>
          <w:rFonts w:hint="eastAsia" w:ascii="仿宋_GB2312" w:hAnsi="仿宋_GB2312" w:eastAsia="仿宋_GB2312" w:cs="仿宋_GB2312"/>
          <w:b w:val="0"/>
          <w:bCs w:val="0"/>
          <w:spacing w:val="2"/>
          <w:sz w:val="32"/>
          <w:szCs w:val="32"/>
          <w:lang w:val="en-US" w:eastAsia="zh-CN"/>
        </w:rPr>
      </w:pPr>
      <w:r>
        <w:rPr>
          <w:rFonts w:hint="eastAsia" w:ascii="楷体_GB2312" w:hAnsi="楷体_GB2312" w:eastAsia="楷体_GB2312" w:cs="楷体_GB2312"/>
          <w:b w:val="0"/>
          <w:bCs w:val="0"/>
          <w:spacing w:val="2"/>
          <w:sz w:val="32"/>
          <w:szCs w:val="32"/>
          <w:lang w:val="en-US" w:eastAsia="zh-CN"/>
        </w:rPr>
        <w:t>2</w:t>
      </w:r>
      <w:r>
        <w:rPr>
          <w:rFonts w:hint="eastAsia" w:ascii="楷体_GB2312" w:hAnsi="楷体_GB2312" w:eastAsia="楷体_GB2312" w:cs="楷体_GB2312"/>
          <w:b w:val="0"/>
          <w:bCs w:val="0"/>
          <w:spacing w:val="2"/>
          <w:sz w:val="32"/>
          <w:szCs w:val="32"/>
        </w:rPr>
        <w:t>.加快推进政务服务标准化规范化便利化。</w:t>
      </w:r>
      <w:r>
        <w:rPr>
          <w:rFonts w:hint="eastAsia" w:ascii="仿宋_GB2312" w:eastAsia="仿宋_GB2312"/>
          <w:sz w:val="32"/>
          <w:szCs w:val="32"/>
        </w:rPr>
        <w:t>科工局涉及其他</w:t>
      </w:r>
      <w:r>
        <w:rPr>
          <w:rFonts w:hint="eastAsia" w:ascii="仿宋_GB2312" w:eastAsia="仿宋_GB2312"/>
          <w:sz w:val="32"/>
          <w:szCs w:val="32"/>
          <w:lang w:eastAsia="zh-CN"/>
        </w:rPr>
        <w:t>行政权力</w:t>
      </w:r>
      <w:r>
        <w:rPr>
          <w:rFonts w:hint="eastAsia" w:ascii="仿宋_GB2312" w:eastAsia="仿宋_GB2312"/>
          <w:sz w:val="32"/>
          <w:szCs w:val="32"/>
        </w:rPr>
        <w:t>一项为工业技术改造备案</w:t>
      </w:r>
      <w:r>
        <w:rPr>
          <w:rFonts w:hint="eastAsia" w:ascii="仿宋_GB2312" w:eastAsia="仿宋_GB2312"/>
          <w:sz w:val="32"/>
          <w:szCs w:val="32"/>
          <w:lang w:eastAsia="zh-CN"/>
        </w:rPr>
        <w:t>，</w:t>
      </w:r>
      <w:r>
        <w:rPr>
          <w:rFonts w:hint="eastAsia" w:ascii="仿宋_GB2312" w:eastAsia="仿宋_GB2312"/>
          <w:sz w:val="32"/>
          <w:szCs w:val="32"/>
        </w:rPr>
        <w:t>利用大连政务服务网、大连市一体化在线政务服务平台系统，实现与企业法人“不见面”备案</w:t>
      </w:r>
      <w:r>
        <w:rPr>
          <w:rFonts w:hint="eastAsia" w:ascii="仿宋_GB2312" w:eastAsia="仿宋_GB2312"/>
          <w:sz w:val="32"/>
          <w:szCs w:val="32"/>
          <w:lang w:eastAsia="zh-CN"/>
        </w:rPr>
        <w:t>，</w:t>
      </w:r>
      <w:r>
        <w:rPr>
          <w:rFonts w:hint="eastAsia" w:ascii="仿宋_GB2312" w:hAnsi="仿宋_GB2312" w:eastAsia="仿宋_GB2312" w:cs="仿宋_GB2312"/>
          <w:b w:val="0"/>
          <w:bCs w:val="0"/>
          <w:spacing w:val="2"/>
          <w:sz w:val="32"/>
          <w:szCs w:val="32"/>
          <w:lang w:val="en-US" w:eastAsia="zh-CN"/>
        </w:rPr>
        <w:t>全力推动政务服务运行标准化、服务供给规范化、企业群众办事便利化建设。</w:t>
      </w:r>
    </w:p>
    <w:p w14:paraId="55103ADE">
      <w:pPr>
        <w:numPr>
          <w:ilvl w:val="0"/>
          <w:numId w:val="0"/>
        </w:numPr>
        <w:ind w:firstLine="640" w:firstLineChars="200"/>
        <w:jc w:val="left"/>
        <w:rPr>
          <w:rFonts w:hint="eastAsia" w:ascii="仿宋_GB2312" w:hAnsi="仿宋_GB2312" w:eastAsia="仿宋_GB2312" w:cs="仿宋_GB2312"/>
          <w:i w:val="0"/>
          <w:iCs w:val="0"/>
          <w:caps w:val="0"/>
          <w:color w:val="auto"/>
          <w:spacing w:val="0"/>
          <w:sz w:val="32"/>
          <w:szCs w:val="32"/>
          <w:highlight w:val="yellow"/>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3.加强安全生产管理。</w:t>
      </w:r>
      <w:r>
        <w:rPr>
          <w:rFonts w:hint="eastAsia" w:ascii="仿宋_GB2312" w:hAnsi="仿宋_GB2312" w:eastAsia="仿宋_GB2312" w:cs="仿宋_GB2312"/>
          <w:b w:val="0"/>
          <w:bCs w:val="0"/>
          <w:sz w:val="32"/>
          <w:szCs w:val="32"/>
          <w:lang w:val="en-US" w:eastAsia="zh-CN"/>
        </w:rPr>
        <w:t>进一步落实安全生产“三管三必须”原则，制定科技和工业信息化局领导班子成员安全生产职责清单，明确了职责分工。</w:t>
      </w:r>
      <w:r>
        <w:rPr>
          <w:rFonts w:hint="eastAsia" w:ascii="仿宋_GB2312" w:hAnsi="仿宋_GB2312" w:eastAsia="仿宋_GB2312" w:cs="仿宋_GB2312"/>
          <w:b w:val="0"/>
          <w:bCs w:val="0"/>
          <w:sz w:val="32"/>
          <w:szCs w:val="32"/>
          <w:highlight w:val="none"/>
          <w:lang w:val="en-US" w:eastAsia="zh-CN"/>
        </w:rPr>
        <w:t>组织民爆企业参与民爆品行业监管人员培训班，</w:t>
      </w:r>
      <w:r>
        <w:rPr>
          <w:rFonts w:hint="eastAsia" w:ascii="仿宋_GB2312" w:hAnsi="宋体" w:eastAsia="仿宋_GB2312" w:cs="仿宋_GB2312"/>
          <w:color w:val="000000"/>
          <w:kern w:val="0"/>
          <w:sz w:val="31"/>
          <w:szCs w:val="31"/>
          <w:lang w:val="en-US" w:eastAsia="zh-CN" w:bidi="ar"/>
        </w:rPr>
        <w:t>就《中华人民共和国安全生产法》、民爆行业理论和安全生产基础知识、《民用爆炸物品行业重大事故隐患判定标准》等安全管理方面业务进行系统培训。进一步强化了安全隐患防范化解能力，进一步提升了民爆企业负责人安全生产管理工作水平。</w:t>
      </w:r>
    </w:p>
    <w:p w14:paraId="79FD58F9">
      <w:pPr>
        <w:ind w:firstLine="640" w:firstLineChars="200"/>
        <w:rPr>
          <w:rFonts w:hint="eastAsia" w:ascii="仿宋" w:hAnsi="仿宋" w:eastAsia="仿宋"/>
          <w:color w:val="auto"/>
          <w:sz w:val="32"/>
          <w:szCs w:val="32"/>
          <w:highlight w:val="yellow"/>
        </w:rPr>
      </w:pPr>
      <w:r>
        <w:rPr>
          <w:rFonts w:hint="eastAsia" w:ascii="仿宋_GB2312" w:hAnsi="仿宋_GB2312" w:eastAsia="仿宋_GB2312" w:cs="仿宋_GB2312"/>
          <w:i w:val="0"/>
          <w:iCs w:val="0"/>
          <w:caps w:val="0"/>
          <w:color w:val="auto"/>
          <w:spacing w:val="0"/>
          <w:sz w:val="32"/>
          <w:szCs w:val="32"/>
          <w:shd w:val="clear" w:fill="FFFFFF"/>
          <w:lang w:val="en-US" w:eastAsia="zh-CN"/>
        </w:rPr>
        <w:t>4.严格履行惠企政策兑现程序。</w:t>
      </w:r>
      <w:r>
        <w:rPr>
          <w:rFonts w:hint="eastAsia" w:ascii="仿宋" w:hAnsi="仿宋" w:eastAsia="仿宋"/>
          <w:color w:val="auto"/>
          <w:sz w:val="32"/>
          <w:szCs w:val="32"/>
        </w:rPr>
        <w:t>根据《庄河市促进企业高质量发展扶持办法》（庄委发〔20</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w:t>
      </w:r>
      <w:r>
        <w:rPr>
          <w:rFonts w:hint="eastAsia" w:ascii="仿宋" w:hAnsi="仿宋" w:eastAsia="仿宋"/>
          <w:color w:val="auto"/>
          <w:sz w:val="32"/>
          <w:szCs w:val="32"/>
          <w:lang w:val="en-US" w:eastAsia="zh-CN"/>
        </w:rPr>
        <w:t>61</w:t>
      </w:r>
      <w:r>
        <w:rPr>
          <w:rFonts w:hint="eastAsia" w:ascii="仿宋" w:hAnsi="仿宋" w:eastAsia="仿宋"/>
          <w:color w:val="auto"/>
          <w:sz w:val="32"/>
          <w:szCs w:val="32"/>
        </w:rPr>
        <w:t>号），</w:t>
      </w:r>
      <w:r>
        <w:rPr>
          <w:rFonts w:hint="eastAsia" w:ascii="仿宋_GB2312" w:hAnsi="仿宋_GB2312" w:eastAsia="仿宋_GB2312" w:cs="仿宋_GB2312"/>
          <w:color w:val="auto"/>
          <w:sz w:val="32"/>
          <w:szCs w:val="32"/>
        </w:rPr>
        <w:t>经企业申报、乡镇（街道）把关，我局审核，</w:t>
      </w:r>
      <w:r>
        <w:rPr>
          <w:rFonts w:hint="eastAsia" w:ascii="仿宋_GB2312" w:hAnsi="仿宋_GB2312" w:eastAsia="仿宋_GB2312" w:cs="仿宋_GB2312"/>
          <w:b w:val="0"/>
          <w:bCs w:val="0"/>
          <w:color w:val="auto"/>
          <w:kern w:val="2"/>
          <w:sz w:val="32"/>
          <w:szCs w:val="32"/>
          <w:highlight w:val="none"/>
          <w:u w:val="none"/>
          <w:lang w:val="en-US" w:eastAsia="zh-CN" w:bidi="ar-SA"/>
        </w:rPr>
        <w:t>2024年共计划拨付给企业关于研发投入后补助、高企认定、创建研发机构等补助资金共计569.5万元。</w:t>
      </w:r>
    </w:p>
    <w:p w14:paraId="4DBCB49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right="0" w:firstLine="640" w:firstLineChars="200"/>
        <w:jc w:val="left"/>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5.加强政策宣传。积极宣传《辽宁省知识产权保护条例》，在高新技术企业等科技型企业组织申报过程中，督促企业严格落实知识产权相关保护工作要求，推进企业产权得到有效保护。全年推荐高新技术企业44家，现均已公示。</w:t>
      </w:r>
    </w:p>
    <w:p w14:paraId="3537AAA1">
      <w:pPr>
        <w:pStyle w:val="2"/>
        <w:keepNext w:val="0"/>
        <w:keepLines w:val="0"/>
        <w:pageBreakBefore w:val="0"/>
        <w:kinsoku/>
        <w:wordWrap/>
        <w:overflowPunct/>
        <w:topLinePunct w:val="0"/>
        <w:autoSpaceDE/>
        <w:autoSpaceDN/>
        <w:bidi w:val="0"/>
        <w:adjustRightInd/>
        <w:snapToGrid/>
        <w:spacing w:line="600" w:lineRule="exact"/>
        <w:ind w:left="0" w:right="0" w:firstLine="67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spacing w:val="8"/>
          <w:sz w:val="32"/>
          <w:szCs w:val="32"/>
          <w:highlight w:val="none"/>
          <w:shd w:val="clear" w:fill="FFFFFF"/>
          <w:lang w:val="en-US" w:eastAsia="zh-CN"/>
        </w:rPr>
        <w:t>6.积极推进法治化营商环境制度建设。领导干部带头学，理论学习中心组每年专题学习，认真组织机关干部认</w:t>
      </w:r>
      <w:r>
        <w:rPr>
          <w:rFonts w:hint="eastAsia" w:ascii="仿宋_GB2312" w:hAnsi="仿宋_GB2312" w:eastAsia="仿宋_GB2312" w:cs="仿宋_GB2312"/>
          <w:i w:val="0"/>
          <w:iCs w:val="0"/>
          <w:caps w:val="0"/>
          <w:spacing w:val="8"/>
          <w:sz w:val="32"/>
          <w:szCs w:val="32"/>
          <w:highlight w:val="none"/>
          <w:shd w:val="clear" w:fill="FFFFFF"/>
        </w:rPr>
        <w:t>真传达</w:t>
      </w:r>
      <w:r>
        <w:rPr>
          <w:rFonts w:hint="eastAsia" w:ascii="仿宋_GB2312" w:hAnsi="仿宋_GB2312" w:eastAsia="仿宋_GB2312" w:cs="仿宋_GB2312"/>
          <w:i w:val="0"/>
          <w:iCs w:val="0"/>
          <w:caps w:val="0"/>
          <w:spacing w:val="8"/>
          <w:sz w:val="32"/>
          <w:szCs w:val="32"/>
          <w:highlight w:val="none"/>
          <w:shd w:val="clear" w:fill="FFFFFF"/>
          <w:lang w:val="en-US" w:eastAsia="zh-CN"/>
        </w:rPr>
        <w:t>学习</w:t>
      </w:r>
      <w:r>
        <w:rPr>
          <w:rFonts w:hint="eastAsia" w:ascii="仿宋_GB2312" w:hAnsi="仿宋_GB2312" w:eastAsia="仿宋_GB2312" w:cs="仿宋_GB2312"/>
          <w:i w:val="0"/>
          <w:iCs w:val="0"/>
          <w:caps w:val="0"/>
          <w:spacing w:val="8"/>
          <w:sz w:val="32"/>
          <w:szCs w:val="32"/>
          <w:highlight w:val="none"/>
          <w:shd w:val="clear" w:fill="FFFFFF"/>
          <w:lang w:eastAsia="zh-CN"/>
        </w:rPr>
        <w:t>《</w:t>
      </w:r>
      <w:r>
        <w:rPr>
          <w:rFonts w:hint="eastAsia" w:ascii="仿宋_GB2312" w:hAnsi="仿宋_GB2312" w:eastAsia="仿宋_GB2312" w:cs="仿宋_GB2312"/>
          <w:i w:val="0"/>
          <w:iCs w:val="0"/>
          <w:caps w:val="0"/>
          <w:spacing w:val="8"/>
          <w:sz w:val="32"/>
          <w:szCs w:val="32"/>
          <w:highlight w:val="none"/>
          <w:shd w:val="clear" w:fill="FFFFFF"/>
        </w:rPr>
        <w:t>优化营商环境条例》《辽宁省优化营商环境条例》</w:t>
      </w:r>
      <w:r>
        <w:rPr>
          <w:rFonts w:hint="eastAsia" w:ascii="仿宋_GB2312" w:hAnsi="仿宋_GB2312" w:eastAsia="仿宋_GB2312" w:cs="仿宋_GB2312"/>
          <w:i w:val="0"/>
          <w:iCs w:val="0"/>
          <w:caps w:val="0"/>
          <w:spacing w:val="8"/>
          <w:sz w:val="32"/>
          <w:szCs w:val="32"/>
          <w:highlight w:val="none"/>
          <w:shd w:val="clear" w:fill="FFFFFF"/>
          <w:lang w:eastAsia="zh-CN"/>
        </w:rPr>
        <w:t>，</w:t>
      </w:r>
      <w:r>
        <w:rPr>
          <w:rFonts w:hint="eastAsia" w:ascii="仿宋_GB2312" w:hAnsi="仿宋_GB2312" w:eastAsia="仿宋_GB2312" w:cs="仿宋_GB2312"/>
          <w:i w:val="0"/>
          <w:iCs w:val="0"/>
          <w:caps w:val="0"/>
          <w:spacing w:val="8"/>
          <w:sz w:val="32"/>
          <w:szCs w:val="32"/>
          <w:highlight w:val="none"/>
          <w:shd w:val="clear" w:fill="FFFFFF"/>
        </w:rPr>
        <w:t>并对内容逐条进行讲解、学习</w:t>
      </w:r>
      <w:r>
        <w:rPr>
          <w:rFonts w:hint="eastAsia" w:ascii="仿宋_GB2312" w:hAnsi="仿宋_GB2312" w:eastAsia="仿宋_GB2312" w:cs="仿宋_GB2312"/>
          <w:i w:val="0"/>
          <w:iCs w:val="0"/>
          <w:caps w:val="0"/>
          <w:spacing w:val="8"/>
          <w:sz w:val="32"/>
          <w:szCs w:val="32"/>
          <w:highlight w:val="none"/>
          <w:shd w:val="clear" w:fill="FFFFFF"/>
          <w:lang w:eastAsia="zh-CN"/>
        </w:rPr>
        <w:t>，</w:t>
      </w:r>
      <w:r>
        <w:rPr>
          <w:rFonts w:hint="eastAsia" w:ascii="仿宋_GB2312" w:hAnsi="仿宋_GB2312" w:eastAsia="仿宋_GB2312" w:cs="仿宋_GB2312"/>
          <w:kern w:val="0"/>
          <w:sz w:val="32"/>
          <w:szCs w:val="32"/>
          <w:highlight w:val="none"/>
          <w:lang w:val="en-US" w:eastAsia="zh-CN" w:bidi="ar"/>
        </w:rPr>
        <w:t>强化了工作人员的服务意识，提高了业务水平，为更好地开展对外宣传和服务工作筑牢了根基。</w:t>
      </w:r>
    </w:p>
    <w:p w14:paraId="22192423">
      <w:pPr>
        <w:ind w:firstLine="640" w:firstLineChars="200"/>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7.严格落实行政机关负责人出庭应诉制度。</w:t>
      </w:r>
      <w:r>
        <w:rPr>
          <w:rFonts w:hint="eastAsia" w:ascii="仿宋_GB2312" w:hAnsi="仿宋_GB2312" w:eastAsia="仿宋_GB2312" w:cs="仿宋_GB2312"/>
          <w:sz w:val="32"/>
          <w:szCs w:val="32"/>
        </w:rPr>
        <w:t>为深入推进法治建设，全面</w:t>
      </w:r>
      <w:r>
        <w:rPr>
          <w:rFonts w:hint="eastAsia" w:ascii="仿宋_GB2312" w:hAnsi="仿宋_GB2312" w:eastAsia="仿宋_GB2312" w:cs="仿宋_GB2312"/>
          <w:sz w:val="32"/>
          <w:szCs w:val="32"/>
          <w:lang w:eastAsia="zh-CN"/>
        </w:rPr>
        <w:t>落实</w:t>
      </w:r>
      <w:r>
        <w:rPr>
          <w:rFonts w:hint="eastAsia" w:ascii="仿宋_GB2312" w:hAnsi="仿宋_GB2312" w:eastAsia="仿宋_GB2312" w:cs="仿宋_GB2312"/>
          <w:sz w:val="32"/>
          <w:szCs w:val="32"/>
        </w:rPr>
        <w:t>行政机关负责人出庭应诉制度，切实提高出庭率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实现行政机关负责人出庭“应出尽出”，</w:t>
      </w:r>
      <w:r>
        <w:rPr>
          <w:rFonts w:hint="eastAsia" w:ascii="仿宋_GB2312" w:hAnsi="仿宋_GB2312" w:eastAsia="仿宋_GB2312" w:cs="仿宋_GB2312"/>
          <w:sz w:val="32"/>
          <w:szCs w:val="32"/>
          <w:highlight w:val="none"/>
          <w:lang w:val="en-US" w:eastAsia="zh-CN"/>
        </w:rPr>
        <w:t>2024年，科工局共出庭民事诉讼案件2件，主要负责人均已出庭，</w:t>
      </w:r>
      <w:r>
        <w:rPr>
          <w:rFonts w:hint="eastAsia" w:ascii="仿宋_GB2312" w:hAnsi="仿宋_GB2312" w:eastAsia="仿宋_GB2312" w:cs="仿宋_GB2312"/>
          <w:color w:val="auto"/>
          <w:sz w:val="32"/>
          <w:szCs w:val="32"/>
          <w:highlight w:val="none"/>
          <w:lang w:val="en-US" w:eastAsia="zh-CN"/>
        </w:rPr>
        <w:t>出庭应诉率达到100%。同时，</w:t>
      </w:r>
      <w:r>
        <w:rPr>
          <w:rFonts w:hint="eastAsia" w:ascii="仿宋_GB2312" w:hAnsi="仿宋_GB2312" w:eastAsia="仿宋_GB2312" w:cs="仿宋_GB2312"/>
          <w:sz w:val="32"/>
          <w:szCs w:val="32"/>
        </w:rPr>
        <w:t>通过定期</w:t>
      </w:r>
      <w:r>
        <w:rPr>
          <w:rFonts w:hint="eastAsia" w:ascii="仿宋_GB2312" w:hAnsi="仿宋_GB2312" w:eastAsia="仿宋_GB2312" w:cs="仿宋_GB2312"/>
          <w:sz w:val="32"/>
          <w:szCs w:val="32"/>
          <w:lang w:eastAsia="zh-CN"/>
        </w:rPr>
        <w:t>参加上级机关</w:t>
      </w:r>
      <w:r>
        <w:rPr>
          <w:rFonts w:hint="eastAsia" w:ascii="仿宋_GB2312" w:hAnsi="仿宋_GB2312" w:eastAsia="仿宋_GB2312" w:cs="仿宋_GB2312"/>
          <w:sz w:val="32"/>
          <w:szCs w:val="32"/>
        </w:rPr>
        <w:t>组织</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庭审旁听，让行政机关人员直观感受庭审流程与法律实践，</w:t>
      </w:r>
      <w:r>
        <w:rPr>
          <w:rFonts w:hint="eastAsia" w:ascii="仿宋_GB2312" w:hAnsi="仿宋_GB2312" w:eastAsia="仿宋_GB2312" w:cs="仿宋_GB2312"/>
          <w:sz w:val="32"/>
          <w:szCs w:val="32"/>
          <w:lang w:eastAsia="zh-CN"/>
        </w:rPr>
        <w:t>不断</w:t>
      </w:r>
      <w:r>
        <w:rPr>
          <w:rFonts w:hint="eastAsia" w:ascii="仿宋_GB2312" w:hAnsi="仿宋_GB2312" w:eastAsia="仿宋_GB2312" w:cs="仿宋_GB2312"/>
          <w:sz w:val="32"/>
          <w:szCs w:val="32"/>
        </w:rPr>
        <w:t xml:space="preserve">增强法治意识与应诉能力。  </w:t>
      </w:r>
    </w:p>
    <w:p w14:paraId="3B55BBAD">
      <w:pPr>
        <w:pStyle w:val="7"/>
        <w:ind w:firstLine="640" w:firstLineChars="200"/>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kern w:val="2"/>
          <w:sz w:val="32"/>
          <w:szCs w:val="32"/>
          <w:lang w:val="en-US" w:eastAsia="zh-CN" w:bidi="ar-SA"/>
        </w:rPr>
        <w:t>8.全力配合政务数据共享协调工作。</w:t>
      </w:r>
      <w:r>
        <w:rPr>
          <w:rFonts w:hint="eastAsia" w:ascii="仿宋_GB2312" w:hAnsi="仿宋_GB2312" w:eastAsia="仿宋_GB2312" w:cs="仿宋_GB2312"/>
          <w:i w:val="0"/>
          <w:iCs w:val="0"/>
          <w:caps w:val="0"/>
          <w:color w:val="auto"/>
          <w:spacing w:val="0"/>
          <w:sz w:val="32"/>
          <w:szCs w:val="32"/>
          <w:shd w:val="clear" w:fill="FFFFFF"/>
          <w:lang w:val="en-US" w:eastAsia="zh-CN"/>
        </w:rPr>
        <w:t>落实市纪委监委、市营商局、市大数据中心工作要求，将2024年我市有效期内高新技术企业名单反馈至“庄河市大数据共享分析服务系统”中，推动我市大数据助力“监督体系和治理体系”建设工作。</w:t>
      </w:r>
    </w:p>
    <w:p w14:paraId="4E3899FE">
      <w:pPr>
        <w:pStyle w:val="5"/>
        <w:rPr>
          <w:rFonts w:hint="eastAsia" w:ascii="仿宋_GB2312" w:hAnsi="仿宋_GB2312" w:eastAsia="仿宋_GB2312" w:cs="仿宋_GB2312"/>
          <w:i w:val="0"/>
          <w:iCs w:val="0"/>
          <w:caps w:val="0"/>
          <w:color w:val="auto"/>
          <w:spacing w:val="0"/>
          <w:kern w:val="2"/>
          <w:sz w:val="32"/>
          <w:szCs w:val="32"/>
          <w:lang w:val="en-US" w:eastAsia="zh-CN" w:bidi="ar-SA"/>
        </w:rPr>
      </w:pPr>
      <w:r>
        <w:rPr>
          <w:rFonts w:hint="eastAsia" w:ascii="仿宋_GB2312" w:hAnsi="仿宋_GB2312" w:eastAsia="仿宋_GB2312" w:cs="仿宋_GB2312"/>
          <w:i w:val="0"/>
          <w:iCs w:val="0"/>
          <w:caps w:val="0"/>
          <w:color w:val="auto"/>
          <w:spacing w:val="0"/>
          <w:kern w:val="2"/>
          <w:sz w:val="32"/>
          <w:szCs w:val="32"/>
          <w:lang w:val="en-US" w:eastAsia="zh-CN" w:bidi="ar-SA"/>
        </w:rPr>
        <w:t>9.持续整治政府失信行为。今年以来，市科工局立足服务中小企业职能，做好上级转办拖欠中小企业账款投诉办理工作，第一时间将投诉信息发送至拖欠主体，督促其尽快化解投诉信息。今年以来共收到上级各渠道转办投诉信息8条，已全部办结。</w:t>
      </w:r>
    </w:p>
    <w:p w14:paraId="52B8CB9D">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right="0" w:rightChars="0" w:firstLine="640" w:firstLineChars="200"/>
        <w:jc w:val="both"/>
        <w:textAlignment w:val="auto"/>
        <w:rPr>
          <w:rFonts w:hint="eastAsia" w:ascii="仿宋_GB2312" w:hAnsi="仿宋_GB2312" w:eastAsia="仿宋_GB2312" w:cs="仿宋_GB2312"/>
          <w:i w:val="0"/>
          <w:iCs w:val="0"/>
          <w:caps w:val="0"/>
          <w:color w:val="auto"/>
          <w:spacing w:val="0"/>
          <w:kern w:val="2"/>
          <w:sz w:val="32"/>
          <w:szCs w:val="32"/>
          <w:lang w:val="en-US" w:eastAsia="zh-CN" w:bidi="ar-SA"/>
        </w:rPr>
      </w:pPr>
      <w:r>
        <w:rPr>
          <w:rFonts w:hint="eastAsia" w:ascii="仿宋_GB2312" w:hAnsi="仿宋_GB2312" w:eastAsia="仿宋_GB2312" w:cs="仿宋_GB2312"/>
          <w:i w:val="0"/>
          <w:iCs w:val="0"/>
          <w:caps w:val="0"/>
          <w:color w:val="auto"/>
          <w:spacing w:val="0"/>
          <w:kern w:val="2"/>
          <w:sz w:val="32"/>
          <w:szCs w:val="32"/>
          <w:lang w:val="en-US" w:eastAsia="zh-CN" w:bidi="ar-SA"/>
        </w:rPr>
        <w:t>10.推进“一网通办”“ 一网统管”“ 一网协同”。科工局涉及其他行政权力一项为工业技术改造备案已接入大连市政务服务网，企业可通过线上线下两种途径办理备案。企业在网上办理备案时，只需填一份表单，办件全过程留痕，办事进度实时查询，让企业群众办事省时、省力、省心。</w:t>
      </w:r>
    </w:p>
    <w:p w14:paraId="4FA2DBDB">
      <w:pPr>
        <w:ind w:firstLine="640" w:firstLineChars="200"/>
        <w:rPr>
          <w:rFonts w:hint="eastAsia" w:ascii="仿宋_GB2312" w:hAnsi="仿宋_GB2312" w:eastAsia="仿宋_GB2312" w:cs="仿宋_GB2312"/>
          <w:i w:val="0"/>
          <w:iCs w:val="0"/>
          <w:caps w:val="0"/>
          <w:color w:val="auto"/>
          <w:spacing w:val="0"/>
          <w:kern w:val="2"/>
          <w:sz w:val="32"/>
          <w:szCs w:val="32"/>
          <w:lang w:val="en-US" w:eastAsia="zh-CN" w:bidi="ar-SA"/>
        </w:rPr>
      </w:pPr>
      <w:r>
        <w:rPr>
          <w:rFonts w:hint="eastAsia" w:ascii="仿宋_GB2312" w:hAnsi="仿宋_GB2312" w:eastAsia="仿宋_GB2312" w:cs="仿宋_GB2312"/>
          <w:i w:val="0"/>
          <w:iCs w:val="0"/>
          <w:caps w:val="0"/>
          <w:color w:val="auto"/>
          <w:spacing w:val="0"/>
          <w:kern w:val="2"/>
          <w:sz w:val="32"/>
          <w:szCs w:val="32"/>
          <w:lang w:val="en-US" w:eastAsia="zh-CN" w:bidi="ar-SA"/>
        </w:rPr>
        <w:t>11.普及应用身份认证、电子印章和电子证照。电子签章应用已成功接入“工业技术改造备案”全程网办，实现跨部门、跨地区、跨层级的数据交换和信息共享，有效推动政务公共服务的“全程网办”，让数据多跑路，群众少跑腿。</w:t>
      </w:r>
    </w:p>
    <w:p w14:paraId="29BED5F7">
      <w:pPr>
        <w:ind w:firstLine="640" w:firstLineChars="200"/>
        <w:rPr>
          <w:rFonts w:hint="eastAsia" w:ascii="仿宋_GB2312" w:hAnsi="仿宋_GB2312" w:eastAsia="仿宋_GB2312" w:cs="仿宋_GB2312"/>
          <w:i w:val="0"/>
          <w:iCs w:val="0"/>
          <w:caps w:val="0"/>
          <w:color w:val="auto"/>
          <w:spacing w:val="0"/>
          <w:kern w:val="2"/>
          <w:sz w:val="32"/>
          <w:szCs w:val="32"/>
          <w:lang w:val="en-US" w:eastAsia="zh-CN" w:bidi="ar-SA"/>
        </w:rPr>
      </w:pPr>
      <w:r>
        <w:rPr>
          <w:rFonts w:hint="eastAsia" w:ascii="仿宋_GB2312" w:hAnsi="仿宋_GB2312" w:eastAsia="仿宋_GB2312" w:cs="仿宋_GB2312"/>
          <w:i w:val="0"/>
          <w:iCs w:val="0"/>
          <w:caps w:val="0"/>
          <w:color w:val="auto"/>
          <w:spacing w:val="0"/>
          <w:kern w:val="2"/>
          <w:sz w:val="32"/>
          <w:szCs w:val="32"/>
          <w:lang w:val="en-US" w:eastAsia="zh-CN" w:bidi="ar-SA"/>
        </w:rPr>
        <w:t>12.推进行政执法信息化建设。2024年共办理工业技术改造备案11项，备案信息通过辽宁省互联网+监管系统对外公示，接受社会监督。</w:t>
      </w:r>
    </w:p>
    <w:p w14:paraId="0CEC240F">
      <w:pPr>
        <w:ind w:firstLine="640" w:firstLineChars="200"/>
        <w:rPr>
          <w:rFonts w:hint="eastAsia" w:ascii="仿宋_GB2312" w:hAnsi="仿宋_GB2312" w:eastAsia="仿宋_GB2312" w:cs="仿宋_GB2312"/>
          <w:i w:val="0"/>
          <w:iCs w:val="0"/>
          <w:caps w:val="0"/>
          <w:color w:val="auto"/>
          <w:spacing w:val="0"/>
          <w:kern w:val="2"/>
          <w:sz w:val="32"/>
          <w:szCs w:val="32"/>
          <w:lang w:val="en-US" w:eastAsia="zh-CN" w:bidi="ar-SA"/>
        </w:rPr>
      </w:pPr>
      <w:r>
        <w:rPr>
          <w:rFonts w:hint="eastAsia" w:ascii="仿宋_GB2312" w:hAnsi="仿宋_GB2312" w:eastAsia="仿宋_GB2312" w:cs="仿宋_GB2312"/>
          <w:i w:val="0"/>
          <w:iCs w:val="0"/>
          <w:caps w:val="0"/>
          <w:color w:val="auto"/>
          <w:spacing w:val="0"/>
          <w:kern w:val="2"/>
          <w:sz w:val="32"/>
          <w:szCs w:val="32"/>
          <w:lang w:val="en-US" w:eastAsia="zh-CN" w:bidi="ar-SA"/>
        </w:rPr>
        <w:t>13.聚焦服务专精特新企业、有法律服务需求的中小企业，结合“双促双进”专项行动，开展中小企业走访活动，重点走访专精特新企业，了解企业是否存在法律服务需求。对于存在法律服务需求的企业，我局将联系法律从业人员深入企业提供法律咨询等服务。截至目前，经走访我市有5家企业存在法律服务需求，我局已经联系法律从业人员前往企业进行对接和服务。</w:t>
      </w:r>
    </w:p>
    <w:p w14:paraId="1F0A614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Style w:val="13"/>
          <w:rFonts w:hint="eastAsia" w:ascii="黑体" w:hAnsi="黑体" w:eastAsia="黑体" w:cs="黑体"/>
          <w:b w:val="0"/>
          <w:bCs w:val="0"/>
          <w:i w:val="0"/>
          <w:iCs w:val="0"/>
          <w:caps w:val="0"/>
          <w:color w:val="auto"/>
          <w:spacing w:val="0"/>
          <w:sz w:val="32"/>
          <w:szCs w:val="32"/>
          <w:shd w:val="clear" w:fill="FFFFFF"/>
          <w:lang w:eastAsia="zh-CN"/>
        </w:rPr>
      </w:pPr>
      <w:r>
        <w:rPr>
          <w:rStyle w:val="13"/>
          <w:rFonts w:hint="eastAsia" w:ascii="黑体" w:hAnsi="黑体" w:eastAsia="黑体" w:cs="黑体"/>
          <w:b w:val="0"/>
          <w:bCs w:val="0"/>
          <w:i w:val="0"/>
          <w:iCs w:val="0"/>
          <w:caps w:val="0"/>
          <w:color w:val="auto"/>
          <w:spacing w:val="0"/>
          <w:sz w:val="32"/>
          <w:szCs w:val="32"/>
          <w:shd w:val="clear" w:fill="FFFFFF"/>
          <w:lang w:eastAsia="zh-CN"/>
        </w:rPr>
        <w:t>二、2024年度推进法治政府建设存在的不足和原因</w:t>
      </w:r>
    </w:p>
    <w:p w14:paraId="76F39456">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default"/>
          <w:lang w:val="en-US" w:eastAsia="zh-CN"/>
        </w:rPr>
      </w:pPr>
      <w:r>
        <w:rPr>
          <w:rFonts w:hint="eastAsia" w:ascii="仿宋_GB2312" w:hAnsi="仿宋_GB2312" w:eastAsia="仿宋_GB2312" w:cs="仿宋_GB2312"/>
          <w:i w:val="0"/>
          <w:iCs w:val="0"/>
          <w:caps w:val="0"/>
          <w:color w:val="auto"/>
          <w:spacing w:val="0"/>
          <w:kern w:val="2"/>
          <w:sz w:val="32"/>
          <w:szCs w:val="32"/>
          <w:lang w:val="en-US" w:eastAsia="zh-CN" w:bidi="ar-SA"/>
        </w:rPr>
        <w:t>一是法治队伍建设有待加强。干部队伍的思想政治理论、法律法规以及业务知识学习不够深入，对习近平法治思想的核心要义把握不精准，学习的深度不够。二是依法行政意识有待提升。部分工作人员运用法治思维和法治方式办事的思想有待进一步强化。原因主要是推进法治建设工作的自觉性和主动性不够强，普法宣贯工作地位不够突出，没有完全形成尊法学法守法用法的浓厚氛围和习惯。</w:t>
      </w:r>
    </w:p>
    <w:p w14:paraId="58D0966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Style w:val="13"/>
          <w:rFonts w:hint="eastAsia" w:ascii="黑体" w:hAnsi="黑体" w:eastAsia="黑体" w:cs="黑体"/>
          <w:b w:val="0"/>
          <w:bCs w:val="0"/>
          <w:i w:val="0"/>
          <w:iCs w:val="0"/>
          <w:caps w:val="0"/>
          <w:color w:val="auto"/>
          <w:spacing w:val="0"/>
          <w:sz w:val="32"/>
          <w:szCs w:val="32"/>
          <w:shd w:val="clear" w:fill="FFFFFF"/>
          <w:lang w:eastAsia="zh-CN"/>
        </w:rPr>
      </w:pPr>
      <w:r>
        <w:rPr>
          <w:rStyle w:val="13"/>
          <w:rFonts w:hint="eastAsia" w:ascii="黑体" w:hAnsi="黑体" w:eastAsia="黑体" w:cs="黑体"/>
          <w:b w:val="0"/>
          <w:bCs w:val="0"/>
          <w:i w:val="0"/>
          <w:iCs w:val="0"/>
          <w:caps w:val="0"/>
          <w:color w:val="auto"/>
          <w:spacing w:val="0"/>
          <w:sz w:val="32"/>
          <w:szCs w:val="32"/>
          <w:shd w:val="clear" w:fill="FFFFFF"/>
          <w:lang w:val="en-US" w:eastAsia="zh-CN"/>
        </w:rPr>
        <w:t>三</w:t>
      </w:r>
      <w:r>
        <w:rPr>
          <w:rStyle w:val="13"/>
          <w:rFonts w:hint="eastAsia" w:ascii="黑体" w:hAnsi="黑体" w:eastAsia="黑体" w:cs="黑体"/>
          <w:b w:val="0"/>
          <w:bCs w:val="0"/>
          <w:i w:val="0"/>
          <w:iCs w:val="0"/>
          <w:caps w:val="0"/>
          <w:color w:val="auto"/>
          <w:spacing w:val="0"/>
          <w:sz w:val="32"/>
          <w:szCs w:val="32"/>
          <w:shd w:val="clear" w:fill="FFFFFF"/>
          <w:lang w:eastAsia="zh-CN"/>
        </w:rPr>
        <w:t>、202</w:t>
      </w:r>
      <w:r>
        <w:rPr>
          <w:rStyle w:val="13"/>
          <w:rFonts w:hint="eastAsia" w:ascii="黑体" w:hAnsi="黑体" w:eastAsia="黑体" w:cs="黑体"/>
          <w:b w:val="0"/>
          <w:bCs w:val="0"/>
          <w:i w:val="0"/>
          <w:iCs w:val="0"/>
          <w:caps w:val="0"/>
          <w:color w:val="auto"/>
          <w:spacing w:val="0"/>
          <w:sz w:val="32"/>
          <w:szCs w:val="32"/>
          <w:shd w:val="clear" w:fill="FFFFFF"/>
          <w:lang w:val="en-US" w:eastAsia="zh-CN"/>
        </w:rPr>
        <w:t>4</w:t>
      </w:r>
      <w:r>
        <w:rPr>
          <w:rStyle w:val="13"/>
          <w:rFonts w:hint="eastAsia" w:ascii="黑体" w:hAnsi="黑体" w:eastAsia="黑体" w:cs="黑体"/>
          <w:b w:val="0"/>
          <w:bCs w:val="0"/>
          <w:i w:val="0"/>
          <w:iCs w:val="0"/>
          <w:caps w:val="0"/>
          <w:color w:val="auto"/>
          <w:spacing w:val="0"/>
          <w:sz w:val="32"/>
          <w:szCs w:val="32"/>
          <w:shd w:val="clear" w:fill="FFFFFF"/>
          <w:lang w:eastAsia="zh-CN"/>
        </w:rPr>
        <w:t>年党政主要责任人履行推进法治建设第一责任人职责，加强法治政府建设的有关情况</w:t>
      </w:r>
    </w:p>
    <w:p w14:paraId="1033ADA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420"/>
        <w:jc w:val="both"/>
        <w:textAlignment w:val="auto"/>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olor w:val="auto"/>
          <w:sz w:val="32"/>
          <w:szCs w:val="32"/>
          <w:lang w:val="en-US" w:eastAsia="zh-CN"/>
        </w:rPr>
        <w:t>党政主要负责人严格履行法治建设第一责任人职责，开展年终述法工作。</w:t>
      </w:r>
      <w:r>
        <w:rPr>
          <w:rFonts w:hint="eastAsia" w:ascii="仿宋_GB2312" w:eastAsia="仿宋_GB2312" w:hAnsiTheme="minorHAnsi" w:cstheme="minorBidi"/>
          <w:color w:val="auto"/>
          <w:kern w:val="2"/>
          <w:sz w:val="32"/>
          <w:szCs w:val="32"/>
          <w:lang w:val="en-US" w:eastAsia="zh-CN" w:bidi="ar-SA"/>
        </w:rPr>
        <w:t>带头深入学习贯彻习近平法治思想，充分运用局党组、局党组理论学习中心组学习和支部学习的“第一议题”制度，认真学习贯彻习近平法治思想。加强对法治政府建设的组织领导，指导制定工作规划和年度工作计划，并组织落实。加强对本部门工作人员法治教育培训，认真落实“谁执法谁普法”责任制，制定理论学习中心组学习计划，加强机关工作人员法律知识培训，提高行政机关工作人员法律素养和工作能力。认真落实“八五”普法规划，积极组织参加“12·4”国家宪法日集中宣传教育活动以及《中华人民共和国民法典》《中华人民共和国民用爆炸物品安全管理条例》《中华人民共和国安全生产法》《</w:t>
      </w:r>
      <w:r>
        <w:rPr>
          <w:rFonts w:hint="eastAsia" w:ascii="仿宋_GB2312" w:eastAsia="仿宋_GB2312" w:cstheme="minorBidi"/>
          <w:color w:val="auto"/>
          <w:kern w:val="2"/>
          <w:sz w:val="32"/>
          <w:szCs w:val="32"/>
          <w:lang w:val="en-US" w:eastAsia="zh-CN" w:bidi="ar-SA"/>
        </w:rPr>
        <w:t>中华人民共和国中小企业促进法</w:t>
      </w:r>
      <w:r>
        <w:rPr>
          <w:rFonts w:hint="eastAsia" w:ascii="仿宋_GB2312" w:eastAsia="仿宋_GB2312" w:hAnsiTheme="minorHAnsi" w:cstheme="minorBidi"/>
          <w:color w:val="auto"/>
          <w:kern w:val="2"/>
          <w:sz w:val="32"/>
          <w:szCs w:val="32"/>
          <w:lang w:val="en-US" w:eastAsia="zh-CN" w:bidi="ar-SA"/>
        </w:rPr>
        <w:t>》</w:t>
      </w:r>
      <w:r>
        <w:rPr>
          <w:rFonts w:hint="eastAsia" w:ascii="仿宋_GB2312" w:eastAsia="仿宋_GB2312" w:cstheme="minorBidi"/>
          <w:color w:val="auto"/>
          <w:kern w:val="2"/>
          <w:sz w:val="32"/>
          <w:szCs w:val="32"/>
          <w:lang w:val="en-US" w:eastAsia="zh-CN" w:bidi="ar-SA"/>
        </w:rPr>
        <w:t>等法律法规宣传</w:t>
      </w:r>
      <w:r>
        <w:rPr>
          <w:rFonts w:hint="default" w:ascii="仿宋_GB2312" w:eastAsia="仿宋_GB2312" w:hAnsiTheme="minorHAnsi" w:cstheme="minorBidi"/>
          <w:color w:val="auto"/>
          <w:kern w:val="2"/>
          <w:sz w:val="32"/>
          <w:szCs w:val="32"/>
          <w:lang w:val="en-US" w:eastAsia="zh-CN" w:bidi="ar-SA"/>
        </w:rPr>
        <w:t>。</w:t>
      </w:r>
    </w:p>
    <w:p w14:paraId="284EF79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Style w:val="13"/>
          <w:rFonts w:hint="eastAsia" w:ascii="黑体" w:hAnsi="黑体" w:eastAsia="黑体" w:cs="黑体"/>
          <w:b w:val="0"/>
          <w:bCs w:val="0"/>
          <w:i w:val="0"/>
          <w:iCs w:val="0"/>
          <w:caps w:val="0"/>
          <w:color w:val="auto"/>
          <w:spacing w:val="0"/>
          <w:sz w:val="32"/>
          <w:szCs w:val="32"/>
          <w:shd w:val="clear" w:fill="FFFFFF"/>
          <w:lang w:eastAsia="zh-CN"/>
        </w:rPr>
      </w:pPr>
      <w:r>
        <w:rPr>
          <w:rStyle w:val="13"/>
          <w:rFonts w:hint="eastAsia" w:ascii="黑体" w:hAnsi="黑体" w:eastAsia="黑体" w:cs="黑体"/>
          <w:b w:val="0"/>
          <w:bCs w:val="0"/>
          <w:i w:val="0"/>
          <w:iCs w:val="0"/>
          <w:caps w:val="0"/>
          <w:color w:val="auto"/>
          <w:spacing w:val="0"/>
          <w:sz w:val="32"/>
          <w:szCs w:val="32"/>
          <w:shd w:val="clear" w:fill="FFFFFF"/>
          <w:lang w:val="en-US" w:eastAsia="zh-CN"/>
        </w:rPr>
        <w:t>四</w:t>
      </w:r>
      <w:r>
        <w:rPr>
          <w:rStyle w:val="13"/>
          <w:rFonts w:hint="eastAsia" w:ascii="黑体" w:hAnsi="黑体" w:eastAsia="黑体" w:cs="黑体"/>
          <w:b w:val="0"/>
          <w:bCs w:val="0"/>
          <w:i w:val="0"/>
          <w:iCs w:val="0"/>
          <w:caps w:val="0"/>
          <w:color w:val="auto"/>
          <w:spacing w:val="0"/>
          <w:sz w:val="32"/>
          <w:szCs w:val="32"/>
          <w:shd w:val="clear" w:fill="FFFFFF"/>
          <w:lang w:eastAsia="zh-CN"/>
        </w:rPr>
        <w:t>、202</w:t>
      </w:r>
      <w:r>
        <w:rPr>
          <w:rStyle w:val="13"/>
          <w:rFonts w:hint="eastAsia" w:ascii="黑体" w:hAnsi="黑体" w:eastAsia="黑体" w:cs="黑体"/>
          <w:b w:val="0"/>
          <w:bCs w:val="0"/>
          <w:i w:val="0"/>
          <w:iCs w:val="0"/>
          <w:caps w:val="0"/>
          <w:color w:val="auto"/>
          <w:spacing w:val="0"/>
          <w:sz w:val="32"/>
          <w:szCs w:val="32"/>
          <w:shd w:val="clear" w:fill="FFFFFF"/>
          <w:lang w:val="en-US" w:eastAsia="zh-CN"/>
        </w:rPr>
        <w:t>5</w:t>
      </w:r>
      <w:r>
        <w:rPr>
          <w:rStyle w:val="13"/>
          <w:rFonts w:hint="eastAsia" w:ascii="黑体" w:hAnsi="黑体" w:eastAsia="黑体" w:cs="黑体"/>
          <w:b w:val="0"/>
          <w:bCs w:val="0"/>
          <w:i w:val="0"/>
          <w:iCs w:val="0"/>
          <w:caps w:val="0"/>
          <w:color w:val="auto"/>
          <w:spacing w:val="0"/>
          <w:sz w:val="32"/>
          <w:szCs w:val="32"/>
          <w:shd w:val="clear" w:fill="FFFFFF"/>
          <w:lang w:eastAsia="zh-CN"/>
        </w:rPr>
        <w:t>年推进法治政府建设的主要安排</w:t>
      </w:r>
    </w:p>
    <w:p w14:paraId="4273080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一）深化法律法规学习，营造良好法治氛围。深入学习贯彻习近平法治思想，围绕省市普法依法治理工作要求，加强局机关干部职工法律法规学习。结合经信科技工作实际，深化经济、科技各类相关法律法规学习，以法律手段规范业务管理，进一步提高干事创业能力。</w:t>
      </w:r>
    </w:p>
    <w:p w14:paraId="0D9C121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（二）加强审查监督管理，持续优化涉企服务。加大科技和工业领域相关法律法规及相关政策的宣传力度，2025年将企业的信用问题作为推荐的“一票否决”项，坚决执行。</w:t>
      </w:r>
    </w:p>
    <w:p w14:paraId="7ACE427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（三）创新开展普法工作，强化涉企政策宣贯。创新方式方法，推动普法工作与业务工作深度融合，全面落实“谁执法、谁普法”责任制。结合科普宣传周、安全宣传月、中国中小微企业宣传日等活动，开展</w:t>
      </w:r>
      <w:r>
        <w:rPr>
          <w:rFonts w:hint="eastAsia" w:ascii="仿宋_GB2312" w:eastAsia="仿宋_GB2312" w:cstheme="minorBidi"/>
          <w:color w:val="auto"/>
          <w:kern w:val="2"/>
          <w:sz w:val="32"/>
          <w:szCs w:val="32"/>
          <w:lang w:val="en-US" w:eastAsia="zh-CN" w:bidi="ar-SA"/>
        </w:rPr>
        <w:t>相关</w:t>
      </w:r>
      <w:r>
        <w:rPr>
          <w:rFonts w:hint="eastAsia" w:ascii="仿宋_GB2312" w:eastAsia="仿宋_GB2312" w:hAnsiTheme="minorHAnsi" w:cstheme="minorBidi"/>
          <w:color w:val="auto"/>
          <w:kern w:val="2"/>
          <w:sz w:val="32"/>
          <w:szCs w:val="32"/>
          <w:lang w:val="en-US" w:eastAsia="zh-CN" w:bidi="ar-SA"/>
        </w:rPr>
        <w:t>法律法规宣贯，提高企业法治观念、安全意识，指导企业依法办事、合规生产经营。</w:t>
      </w:r>
    </w:p>
    <w:p w14:paraId="20F33B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Style w:val="13"/>
          <w:rFonts w:hint="eastAsia" w:ascii="黑体" w:hAnsi="黑体" w:eastAsia="黑体" w:cs="黑体"/>
          <w:b w:val="0"/>
          <w:bCs w:val="0"/>
          <w:i w:val="0"/>
          <w:iCs w:val="0"/>
          <w:caps w:val="0"/>
          <w:color w:val="auto"/>
          <w:spacing w:val="0"/>
          <w:sz w:val="32"/>
          <w:szCs w:val="32"/>
          <w:shd w:val="clear" w:fill="FFFFFF"/>
          <w:lang w:eastAsia="zh-CN"/>
        </w:rPr>
      </w:pPr>
      <w:r>
        <w:rPr>
          <w:rStyle w:val="13"/>
          <w:rFonts w:hint="eastAsia" w:ascii="黑体" w:hAnsi="黑体" w:eastAsia="黑体" w:cs="黑体"/>
          <w:b w:val="0"/>
          <w:bCs w:val="0"/>
          <w:i w:val="0"/>
          <w:iCs w:val="0"/>
          <w:caps w:val="0"/>
          <w:color w:val="auto"/>
          <w:spacing w:val="0"/>
          <w:sz w:val="32"/>
          <w:szCs w:val="32"/>
          <w:shd w:val="clear" w:fill="FFFFFF"/>
          <w:lang w:eastAsia="zh-CN"/>
        </w:rPr>
        <w:t>五、其他需要报告的情况</w:t>
      </w:r>
    </w:p>
    <w:p w14:paraId="05D0439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00" w:lineRule="exact"/>
        <w:ind w:right="0" w:firstLine="640" w:firstLineChars="200"/>
        <w:jc w:val="both"/>
        <w:textAlignment w:val="auto"/>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无其他需要报告的情况。</w:t>
      </w:r>
    </w:p>
    <w:p w14:paraId="268181D6">
      <w:pPr>
        <w:pStyle w:val="2"/>
        <w:rPr>
          <w:rFonts w:hint="eastAsia"/>
          <w:lang w:val="en-US" w:eastAsia="zh-CN"/>
        </w:rPr>
      </w:pPr>
    </w:p>
    <w:p w14:paraId="37BDD67C">
      <w:pPr>
        <w:pStyle w:val="3"/>
        <w:rPr>
          <w:rFonts w:hint="eastAsia"/>
          <w:lang w:val="en-US" w:eastAsia="zh-CN"/>
        </w:rPr>
      </w:pPr>
    </w:p>
    <w:p w14:paraId="76F85435">
      <w:pPr>
        <w:rPr>
          <w:rFonts w:hint="eastAsia"/>
          <w:lang w:val="en-US" w:eastAsia="zh-CN"/>
        </w:rPr>
      </w:pPr>
    </w:p>
    <w:p w14:paraId="3B88EEF4">
      <w:pPr>
        <w:pStyle w:val="2"/>
        <w:rPr>
          <w:rFonts w:hint="eastAsia"/>
          <w:lang w:val="en-US" w:eastAsia="zh-CN"/>
        </w:rPr>
      </w:pPr>
    </w:p>
    <w:p w14:paraId="01C21C85">
      <w:pPr>
        <w:rPr>
          <w:rFonts w:hint="eastAsia"/>
          <w:lang w:val="en-US" w:eastAsia="zh-CN"/>
        </w:rPr>
      </w:pPr>
    </w:p>
    <w:p w14:paraId="7069C893">
      <w:pPr>
        <w:keepNext w:val="0"/>
        <w:keepLines w:val="0"/>
        <w:pageBreakBefore w:val="0"/>
        <w:kinsoku/>
        <w:wordWrap/>
        <w:overflowPunct/>
        <w:topLinePunct w:val="0"/>
        <w:autoSpaceDE/>
        <w:autoSpaceDN/>
        <w:bidi w:val="0"/>
        <w:adjustRightInd/>
        <w:snapToGrid/>
        <w:spacing w:line="600" w:lineRule="exact"/>
        <w:jc w:val="right"/>
        <w:textAlignment w:val="auto"/>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庄河市科技和工业信息化局</w:t>
      </w:r>
    </w:p>
    <w:p w14:paraId="2D9509E8">
      <w:pPr>
        <w:keepNext w:val="0"/>
        <w:keepLines w:val="0"/>
        <w:pageBreakBefore w:val="0"/>
        <w:widowControl w:val="0"/>
        <w:kinsoku/>
        <w:wordWrap/>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日</w:t>
      </w:r>
    </w:p>
    <w:p w14:paraId="309B3FE0">
      <w:pPr>
        <w:pStyle w:val="2"/>
        <w:rPr>
          <w:rFonts w:hint="eastAsia" w:ascii="仿宋_GB2312" w:hAnsi="仿宋_GB2312" w:eastAsia="仿宋_GB2312" w:cs="仿宋_GB2312"/>
          <w:sz w:val="32"/>
          <w:szCs w:val="32"/>
          <w:highlight w:val="none"/>
        </w:rPr>
      </w:pPr>
    </w:p>
    <w:p w14:paraId="5A74A58A">
      <w:pPr>
        <w:pStyle w:val="3"/>
        <w:rPr>
          <w:rFonts w:hint="eastAsia" w:ascii="仿宋_GB2312" w:hAnsi="仿宋_GB2312" w:eastAsia="仿宋_GB2312" w:cs="仿宋_GB2312"/>
          <w:sz w:val="32"/>
          <w:szCs w:val="32"/>
          <w:highlight w:val="none"/>
        </w:rPr>
      </w:pPr>
    </w:p>
    <w:p w14:paraId="102C0FD2">
      <w:pPr>
        <w:rPr>
          <w:rFonts w:hint="eastAsia" w:ascii="仿宋_GB2312" w:hAnsi="仿宋_GB2312" w:eastAsia="仿宋_GB2312" w:cs="仿宋_GB2312"/>
          <w:sz w:val="32"/>
          <w:szCs w:val="32"/>
          <w:highlight w:val="none"/>
        </w:rPr>
      </w:pPr>
    </w:p>
    <w:p w14:paraId="054FBA2F">
      <w:pPr>
        <w:pStyle w:val="2"/>
        <w:rPr>
          <w:rFonts w:hint="eastAsia" w:ascii="仿宋_GB2312" w:hAnsi="仿宋_GB2312" w:eastAsia="仿宋_GB2312" w:cs="仿宋_GB2312"/>
          <w:sz w:val="32"/>
          <w:szCs w:val="32"/>
          <w:highlight w:val="none"/>
        </w:rPr>
      </w:pPr>
    </w:p>
    <w:p w14:paraId="1852CF97">
      <w:pPr>
        <w:pStyle w:val="3"/>
        <w:rPr>
          <w:rFonts w:hint="eastAsia" w:ascii="仿宋_GB2312" w:hAnsi="仿宋_GB2312" w:eastAsia="仿宋_GB2312" w:cs="仿宋_GB2312"/>
          <w:sz w:val="32"/>
          <w:szCs w:val="32"/>
          <w:highlight w:val="none"/>
        </w:rPr>
      </w:pPr>
    </w:p>
    <w:p w14:paraId="40940CFE">
      <w:pPr>
        <w:rPr>
          <w:rFonts w:hint="eastAsia"/>
        </w:rPr>
      </w:pPr>
    </w:p>
    <w:p w14:paraId="00F93DEF">
      <w:pPr>
        <w:rPr>
          <w:rFonts w:hint="eastAsia"/>
          <w:highlight w:val="none"/>
        </w:rPr>
      </w:pPr>
      <w:r>
        <w:rPr>
          <w:rFonts w:hint="default" w:ascii="仿宋_GB2312" w:eastAsia="仿宋_GB2312"/>
          <w:color w:val="000000"/>
          <w:sz w:val="32"/>
          <w:szCs w:val="32"/>
          <w:highlight w:val="none"/>
          <w:lang w:val="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188595</wp:posOffset>
                </wp:positionV>
                <wp:extent cx="5544185"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5544185" cy="635"/>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14.85pt;height:0.05pt;width:436.55pt;z-index:251660288;mso-width-relative:page;mso-height-relative:page;" filled="f" stroked="t" coordsize="21600,21600" o:gfxdata="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i+t/O1gAAAAYBAAAPAAAAAAAAAAEAIAAAACIAAABkcnMvZG93bnJldi54&#10;bWxQSwECFAAUAAAACACHTuJA/kozqvwBAAD1AwAADgAAAAAAAAABACAAAAAlAQAAZHJzL2Uyb0Rv&#10;Yy54bWxQSwUGAAAAAAYABgBZAQAAkwUAAAAA&#10;">
                <v:fill on="f" focussize="0,0"/>
                <v:stroke weight="1pt" color="#000000" joinstyle="round"/>
                <v:imagedata o:title=""/>
                <o:lock v:ext="edit" aspectratio="f"/>
              </v:line>
            </w:pict>
          </mc:Fallback>
        </mc:AlternateContent>
      </w:r>
    </w:p>
    <w:p w14:paraId="5F791E5F">
      <w:pPr>
        <w:tabs>
          <w:tab w:val="left" w:pos="8160"/>
          <w:tab w:val="left" w:pos="8480"/>
        </w:tabs>
        <w:spacing w:line="560" w:lineRule="exact"/>
        <w:rPr>
          <w:rFonts w:cs="Times New Roman"/>
          <w:sz w:val="32"/>
          <w:szCs w:val="32"/>
          <w:highlight w:val="none"/>
        </w:rPr>
      </w:pPr>
      <w:r>
        <w:rPr>
          <w:rFonts w:hint="default" w:ascii="仿宋_GB2312" w:eastAsia="仿宋_GB2312"/>
          <w:color w:val="000000"/>
          <w:sz w:val="32"/>
          <w:szCs w:val="32"/>
          <w:highlight w:val="none"/>
          <w:lang w:val="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400050</wp:posOffset>
                </wp:positionV>
                <wp:extent cx="56007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600700" cy="635"/>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31.5pt;height:0.05pt;width:441pt;z-index:251659264;mso-width-relative:page;mso-height-relative:page;" filled="f" stroked="t" coordsize="21600,21600" o:gfxdata="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rLEZ9UAAAAGAQAADwAAAAAAAAABACAAAAAiAAAAZHJzL2Rvd25yZXYueG1sUEsB&#10;AhQAFAAAAAgAh07iQKTJgAH4AQAA9QMAAA4AAAAAAAAAAQAgAAAAJAEAAGRycy9lMm9Eb2MueG1s&#10;UEsFBgAAAAAGAAYAWQEAAI4FAAAAAA==&#10;">
                <v:fill on="f" focussize="0,0"/>
                <v:stroke weight="1pt" color="#000000" joinstyle="round"/>
                <v:imagedata o:title=""/>
                <o:lock v:ext="edit" aspectratio="f"/>
              </v:line>
            </w:pict>
          </mc:Fallback>
        </mc:AlternateContent>
      </w:r>
      <w:r>
        <w:rPr>
          <w:rFonts w:hint="eastAsia" w:ascii="仿宋_GB2312" w:eastAsia="仿宋_GB2312"/>
          <w:color w:val="000000"/>
          <w:sz w:val="32"/>
          <w:szCs w:val="32"/>
          <w:highlight w:val="none"/>
          <w:lang w:val="en-US" w:eastAsia="zh-CN"/>
        </w:rPr>
        <w:t>抄送：市委依法治市办</w:t>
      </w:r>
      <w:r>
        <w:rPr>
          <w:rFonts w:hint="eastAsia" w:ascii="仿宋_GB2312" w:eastAsia="仿宋_GB2312"/>
          <w:color w:val="000000"/>
          <w:sz w:val="32"/>
          <w:szCs w:val="32"/>
          <w:highlight w:val="none"/>
        </w:rPr>
        <w:t xml:space="preserve">  </w:t>
      </w:r>
      <w:r>
        <w:rPr>
          <w:rFonts w:hint="eastAsia" w:ascii="仿宋_GB2312" w:eastAsia="仿宋_GB2312"/>
          <w:color w:val="000000"/>
          <w:sz w:val="32"/>
          <w:szCs w:val="32"/>
          <w:highlight w:val="none"/>
          <w:lang w:val="en-US" w:eastAsia="zh-CN"/>
        </w:rPr>
        <w:t xml:space="preserve">                            </w:t>
      </w:r>
      <w:r>
        <w:rPr>
          <w:rFonts w:hint="eastAsia" w:ascii="仿宋_GB2312" w:eastAsia="仿宋_GB2312"/>
          <w:color w:val="000000"/>
          <w:sz w:val="32"/>
          <w:szCs w:val="32"/>
          <w:highlight w:val="none"/>
        </w:rPr>
        <w:t xml:space="preserve"> </w:t>
      </w:r>
    </w:p>
    <w:p w14:paraId="389D60C7">
      <w:pPr>
        <w:tabs>
          <w:tab w:val="left" w:pos="8160"/>
          <w:tab w:val="left" w:pos="8480"/>
        </w:tabs>
        <w:spacing w:line="560" w:lineRule="exact"/>
        <w:rPr>
          <w:rFonts w:hint="default" w:ascii="仿宋_GB2312" w:hAnsi="仿宋_GB2312" w:eastAsia="仿宋_GB2312" w:cs="仿宋_GB2312"/>
          <w:color w:val="auto"/>
          <w:sz w:val="32"/>
          <w:szCs w:val="32"/>
          <w:u w:val="none"/>
          <w:lang w:val="en-US" w:eastAsia="zh-CN"/>
        </w:rPr>
      </w:pPr>
      <w:r>
        <w:rPr>
          <w:rFonts w:hint="default" w:ascii="仿宋_GB2312" w:eastAsia="仿宋_GB2312"/>
          <w:color w:val="000000"/>
          <w:sz w:val="32"/>
          <w:szCs w:val="32"/>
          <w:highlight w:val="none"/>
          <w:lang w:val="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400050</wp:posOffset>
                </wp:positionV>
                <wp:extent cx="560070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5600700" cy="635"/>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31.5pt;height:0.05pt;width:441pt;z-index:251661312;mso-width-relative:page;mso-height-relative:page;" filled="f" stroked="t" coordsize="21600,21600" o:gfxdata="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assRn1QAAAAYBAAAPAAAAAAAAAAEAIAAAACIAAABkcnMvZG93bnJldi54bWxQSwEC&#10;FAAUAAAACACHTuJAik2oAfcBAAD1AwAADgAAAAAAAAABACAAAAAkAQAAZHJzL2Uyb0RvYy54bWxQ&#10;SwUGAAAAAAYABgBZAQAAjQUAAAAA&#10;">
                <v:fill on="f" focussize="0,0"/>
                <v:stroke weight="1pt" color="#000000" joinstyle="round"/>
                <v:imagedata o:title=""/>
                <o:lock v:ext="edit" aspectratio="f"/>
              </v:line>
            </w:pict>
          </mc:Fallback>
        </mc:AlternateContent>
      </w:r>
      <w:r>
        <w:rPr>
          <w:rFonts w:hint="eastAsia" w:ascii="仿宋_GB2312" w:eastAsia="仿宋_GB2312"/>
          <w:color w:val="000000"/>
          <w:sz w:val="32"/>
          <w:szCs w:val="32"/>
          <w:highlight w:val="none"/>
          <w:lang w:val="en-US" w:eastAsia="zh-CN"/>
        </w:rPr>
        <w:t>市科技和工业信息化局</w:t>
      </w:r>
      <w:r>
        <w:rPr>
          <w:rFonts w:hint="eastAsia" w:ascii="仿宋_GB2312" w:eastAsia="仿宋_GB2312"/>
          <w:color w:val="000000"/>
          <w:sz w:val="32"/>
          <w:szCs w:val="32"/>
          <w:highlight w:val="none"/>
        </w:rPr>
        <w:t xml:space="preserve">办公室  </w:t>
      </w:r>
      <w:r>
        <w:rPr>
          <w:rFonts w:hint="eastAsia" w:ascii="仿宋_GB2312" w:eastAsia="仿宋_GB2312"/>
          <w:color w:val="000000"/>
          <w:sz w:val="32"/>
          <w:szCs w:val="32"/>
          <w:highlight w:val="none"/>
          <w:lang w:val="en-US" w:eastAsia="zh-CN"/>
        </w:rPr>
        <w:t xml:space="preserve">    </w:t>
      </w:r>
      <w:r>
        <w:rPr>
          <w:rFonts w:hint="eastAsia" w:ascii="仿宋_GB2312" w:eastAsia="仿宋_GB2312"/>
          <w:color w:val="000000"/>
          <w:sz w:val="32"/>
          <w:szCs w:val="32"/>
          <w:highlight w:val="none"/>
        </w:rPr>
        <w:t xml:space="preserve"> </w:t>
      </w:r>
      <w:r>
        <w:rPr>
          <w:rFonts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日印发</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0593829-BEF6-4EB3-997D-D870F7DE0D77}"/>
  </w:font>
  <w:font w:name="黑体">
    <w:panose1 w:val="02010609060101010101"/>
    <w:charset w:val="86"/>
    <w:family w:val="auto"/>
    <w:pitch w:val="default"/>
    <w:sig w:usb0="800002BF" w:usb1="38CF7CFA" w:usb2="00000016" w:usb3="00000000" w:csb0="00040001" w:csb1="00000000"/>
    <w:embedRegular r:id="rId2" w:fontKey="{2F76839C-5906-4D94-8E83-F332AEDE7C4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FCA092AC-4E77-4FD6-B525-8E0EDF4B19A8}"/>
  </w:font>
  <w:font w:name="方正小标宋简体">
    <w:panose1 w:val="03000509000000000000"/>
    <w:charset w:val="86"/>
    <w:family w:val="auto"/>
    <w:pitch w:val="default"/>
    <w:sig w:usb0="00000001" w:usb1="080E0000" w:usb2="00000000" w:usb3="00000000" w:csb0="00040000" w:csb1="00000000"/>
    <w:embedRegular r:id="rId4" w:fontKey="{049AAFEF-10D7-4AE3-8A03-95E8CCDB39E4}"/>
  </w:font>
  <w:font w:name="仿宋_GB2312">
    <w:panose1 w:val="02010609030101010101"/>
    <w:charset w:val="86"/>
    <w:family w:val="modern"/>
    <w:pitch w:val="default"/>
    <w:sig w:usb0="00000001" w:usb1="080E0000" w:usb2="00000000" w:usb3="00000000" w:csb0="00040000" w:csb1="00000000"/>
    <w:embedRegular r:id="rId5" w:fontKey="{5C016CD8-EA5A-4CEF-84C1-4B212091D55C}"/>
  </w:font>
  <w:font w:name="楷体_GB2312">
    <w:panose1 w:val="02010609030101010101"/>
    <w:charset w:val="86"/>
    <w:family w:val="auto"/>
    <w:pitch w:val="default"/>
    <w:sig w:usb0="00000001" w:usb1="080E0000" w:usb2="00000000" w:usb3="00000000" w:csb0="00040000" w:csb1="00000000"/>
    <w:embedRegular r:id="rId6" w:fontKey="{D626289F-613A-49EE-9D33-5D912E6B6BE5}"/>
  </w:font>
  <w:font w:name="仿宋">
    <w:panose1 w:val="02010609060101010101"/>
    <w:charset w:val="86"/>
    <w:family w:val="modern"/>
    <w:pitch w:val="default"/>
    <w:sig w:usb0="800002BF" w:usb1="38CF7CFA" w:usb2="00000016" w:usb3="00000000" w:csb0="00040001" w:csb1="00000000"/>
    <w:embedRegular r:id="rId7" w:fontKey="{86745881-83B5-48D2-B03B-A2FD1934DA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827DD">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817595">
                          <w:pPr>
                            <w:pStyle w:val="8"/>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6817595">
                    <w:pPr>
                      <w:pStyle w:val="8"/>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MzQzMWNkMWE4MjUwNmNmY2YzNDRhZjY3ZWQwMzAifQ=="/>
  </w:docVars>
  <w:rsids>
    <w:rsidRoot w:val="00000000"/>
    <w:rsid w:val="098C370B"/>
    <w:rsid w:val="0D312301"/>
    <w:rsid w:val="0DC21AED"/>
    <w:rsid w:val="0EEA04FC"/>
    <w:rsid w:val="145911A7"/>
    <w:rsid w:val="14DB7F08"/>
    <w:rsid w:val="1A13193F"/>
    <w:rsid w:val="1DE50992"/>
    <w:rsid w:val="236D5C2A"/>
    <w:rsid w:val="287866D2"/>
    <w:rsid w:val="2D460049"/>
    <w:rsid w:val="31C83B87"/>
    <w:rsid w:val="36A04B2A"/>
    <w:rsid w:val="37444205"/>
    <w:rsid w:val="3B9A2439"/>
    <w:rsid w:val="3E5F7DC3"/>
    <w:rsid w:val="450D7357"/>
    <w:rsid w:val="45506301"/>
    <w:rsid w:val="46404409"/>
    <w:rsid w:val="46FA3418"/>
    <w:rsid w:val="47332EFB"/>
    <w:rsid w:val="489F5472"/>
    <w:rsid w:val="59875AED"/>
    <w:rsid w:val="5FFA3418"/>
    <w:rsid w:val="61343245"/>
    <w:rsid w:val="62280CCA"/>
    <w:rsid w:val="656377EB"/>
    <w:rsid w:val="67A12617"/>
    <w:rsid w:val="699A0101"/>
    <w:rsid w:val="6AEE1275"/>
    <w:rsid w:val="6C091E06"/>
    <w:rsid w:val="6C5269D6"/>
    <w:rsid w:val="711B760A"/>
    <w:rsid w:val="748538D0"/>
    <w:rsid w:val="76F908F6"/>
    <w:rsid w:val="78C513BF"/>
    <w:rsid w:val="7A941897"/>
    <w:rsid w:val="7AD20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autoRedefine/>
    <w:qFormat/>
    <w:uiPriority w:val="0"/>
    <w:pPr>
      <w:keepNext/>
      <w:keepLines/>
      <w:spacing w:beforeLines="0" w:beforeAutospacing="0" w:afterLines="0" w:afterAutospacing="0" w:line="413" w:lineRule="auto"/>
      <w:outlineLvl w:val="1"/>
    </w:pPr>
    <w:rPr>
      <w:rFonts w:ascii="Arial" w:hAnsi="Arial" w:eastAsia="黑体"/>
      <w:b/>
      <w:sz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spacing w:after="120"/>
    </w:pPr>
    <w:rPr>
      <w:rFonts w:eastAsia="宋体" w:cs="Times New Roman"/>
    </w:rPr>
  </w:style>
  <w:style w:type="paragraph" w:customStyle="1" w:styleId="3">
    <w:name w:val="_Style 4"/>
    <w:basedOn w:val="1"/>
    <w:next w:val="1"/>
    <w:autoRedefine/>
    <w:qFormat/>
    <w:uiPriority w:val="0"/>
    <w:pPr>
      <w:wordWrap w:val="0"/>
      <w:spacing w:before="360" w:after="360"/>
      <w:ind w:left="950" w:right="950"/>
      <w:jc w:val="center"/>
    </w:pPr>
    <w:rPr>
      <w:i/>
    </w:rPr>
  </w:style>
  <w:style w:type="paragraph" w:styleId="5">
    <w:name w:val="Normal Indent"/>
    <w:basedOn w:val="1"/>
    <w:next w:val="1"/>
    <w:autoRedefine/>
    <w:qFormat/>
    <w:uiPriority w:val="0"/>
    <w:pPr>
      <w:ind w:firstLine="420" w:firstLineChars="200"/>
    </w:pPr>
    <w:rPr>
      <w:rFonts w:ascii="Calibri" w:hAnsi="Calibri" w:eastAsia="宋体"/>
      <w:sz w:val="21"/>
      <w:szCs w:val="24"/>
    </w:rPr>
  </w:style>
  <w:style w:type="paragraph" w:styleId="6">
    <w:name w:val="Block Text"/>
    <w:basedOn w:val="1"/>
    <w:autoRedefine/>
    <w:unhideWhenUsed/>
    <w:qFormat/>
    <w:uiPriority w:val="99"/>
    <w:rPr>
      <w:rFonts w:hint="eastAsia"/>
      <w:sz w:val="32"/>
    </w:rPr>
  </w:style>
  <w:style w:type="paragraph" w:styleId="7">
    <w:name w:val="HTML Address"/>
    <w:basedOn w:val="1"/>
    <w:autoRedefine/>
    <w:qFormat/>
    <w:uiPriority w:val="0"/>
    <w:rPr>
      <w:i/>
      <w:iCs/>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autoRedefine/>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3060</Words>
  <Characters>3146</Characters>
  <Lines>0</Lines>
  <Paragraphs>0</Paragraphs>
  <TotalTime>43</TotalTime>
  <ScaleCrop>false</ScaleCrop>
  <LinksUpToDate>false</LinksUpToDate>
  <CharactersWithSpaces>3152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2022-10-31T08:47:00Z</dcterms:created>
  <dc:creator>Administrator</dc:creator>
  <cp:lastModifiedBy>gf</cp:lastModifiedBy>
  <cp:lastPrinted>2024-01-23T00:41:00Z</cp:lastPrinted>
  <dcterms:modified xsi:type="dcterms:W3CDTF">2025-03-28T05:32:39Z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5B6FF9C1453F4088B85FB469026FD56A_13</vt:lpwstr>
  </property>
  <property fmtid="{D5CDD505-2E9C-101B-9397-08002B2CF9AE}" pid="4" name="KSOTemplateDocerSaveRecord">
    <vt:lpwstr>eyJoZGlkIjoiZjJlYTA2ZmUzZDNhMzc0YzE5YWU5YTM1MGY5MWI5N2QifQ==</vt:lpwstr>
  </property>
</Properties>
</file>