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63618">
      <w:pPr>
        <w:widowControl/>
        <w:shd w:val="clear" w:color="auto" w:fill="FFFFFF"/>
        <w:spacing w:line="900" w:lineRule="atLeast"/>
        <w:jc w:val="center"/>
        <w:rPr>
          <w:rFonts w:cs="宋体" w:asciiTheme="majorEastAsia" w:hAnsiTheme="majorEastAsia" w:eastAsiaTheme="majorEastAsia"/>
          <w:b/>
          <w:bCs/>
          <w:color w:val="auto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bCs/>
          <w:color w:val="auto"/>
          <w:kern w:val="0"/>
          <w:sz w:val="44"/>
          <w:szCs w:val="44"/>
        </w:rPr>
        <w:t>文旅局2024年度法治政府建设工作报告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 w14:paraId="5C4FDE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000" w:type="pct"/>
            <w:vAlign w:val="center"/>
          </w:tcPr>
          <w:p w14:paraId="0816805D">
            <w:pPr>
              <w:widowControl/>
              <w:jc w:val="left"/>
              <w:rPr>
                <w:rFonts w:eastAsia="宋体" w:cs="宋体"/>
                <w:color w:val="auto"/>
              </w:rPr>
            </w:pPr>
          </w:p>
        </w:tc>
      </w:tr>
    </w:tbl>
    <w:p w14:paraId="0DC73733">
      <w:pPr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2024年，文旅局把贯彻落实《庄河市2024年法治政府建设十项重点任务》《庄河市贯彻落实〈法治政府建设纲要（2021</w:t>
      </w:r>
      <w:r>
        <w:rPr>
          <w:rFonts w:ascii="仿宋" w:hAnsi="仿宋" w:eastAsia="仿宋"/>
          <w:color w:val="auto"/>
          <w:sz w:val="32"/>
          <w:szCs w:val="32"/>
        </w:rPr>
        <w:t>—</w:t>
      </w:r>
      <w:r>
        <w:rPr>
          <w:rFonts w:hint="eastAsia" w:ascii="仿宋" w:hAnsi="仿宋" w:eastAsia="仿宋"/>
          <w:color w:val="auto"/>
          <w:sz w:val="32"/>
          <w:szCs w:val="32"/>
        </w:rPr>
        <w:t>2025年）〉主要任务举措分工方案》作为部门推进依法行政工作的重要任务来抓，全面推进依法行政，履行好文化、体育、广电、旅游、版权等行政职能，现将有关工作情况报告如下：</w:t>
      </w:r>
    </w:p>
    <w:p w14:paraId="6FDC84B7">
      <w:pPr>
        <w:rPr>
          <w:rFonts w:ascii="黑体" w:hAnsi="黑体" w:eastAsia="黑体"/>
          <w:b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32"/>
        </w:rPr>
        <w:t xml:space="preserve">    一、2024年推进法治政府建设的主要措施和成效</w:t>
      </w:r>
    </w:p>
    <w:p w14:paraId="72C1884E">
      <w:pPr>
        <w:rPr>
          <w:rFonts w:ascii="楷体" w:hAnsi="楷体" w:eastAsia="楷体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楷体" w:hAnsi="楷体" w:eastAsia="楷体"/>
          <w:b/>
          <w:color w:val="auto"/>
          <w:sz w:val="32"/>
          <w:szCs w:val="32"/>
        </w:rPr>
        <w:t xml:space="preserve"> （一）依法全面履行行政职能</w:t>
      </w:r>
    </w:p>
    <w:p w14:paraId="28EBCD96">
      <w:pPr>
        <w:ind w:firstLine="643" w:firstLineChars="200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1．加强组织领导，稳步推进依法行政工作。</w:t>
      </w:r>
      <w:r>
        <w:rPr>
          <w:rFonts w:hint="eastAsia" w:ascii="仿宋" w:hAnsi="仿宋" w:eastAsia="仿宋"/>
          <w:color w:val="auto"/>
          <w:sz w:val="32"/>
          <w:szCs w:val="32"/>
        </w:rPr>
        <w:t>及时调整机关法治政府建设工作领导小组，明确了组长是法治政府建设工作的第一责任人。将依法行政工作与局中心工作同谋划、同部署、同落实、同考核，有力推进了依法行政工作。文化、体育、旅游行政执法人员根据分工，对有关具体目标完成情况负直接责任。</w:t>
      </w:r>
    </w:p>
    <w:p w14:paraId="5A09FE47">
      <w:pPr>
        <w:ind w:firstLine="643" w:firstLineChars="200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2．推进政务服务改革，努力提供便捷服务。</w:t>
      </w:r>
      <w:r>
        <w:rPr>
          <w:rFonts w:hint="eastAsia" w:ascii="仿宋" w:hAnsi="仿宋" w:eastAsia="仿宋"/>
          <w:color w:val="auto"/>
          <w:sz w:val="32"/>
          <w:szCs w:val="32"/>
        </w:rPr>
        <w:t>按照政务服务改革的总体部署，根据政府服务事项要求，我局全面梳理行政服务事项，完善了工作流程、办事指南、问题解答等事项，规范了工作程序，公示了政务事项办理程序和所需材料，规定了法定许可办理期限及办理该事项所对应的科室，公布了联系咨询电话及办理责任人，</w:t>
      </w:r>
      <w:r>
        <w:rPr>
          <w:rFonts w:hint="eastAsia" w:ascii="仿宋" w:hAnsi="仿宋" w:eastAsia="仿宋"/>
          <w:color w:val="auto"/>
          <w:sz w:val="32"/>
          <w:szCs w:val="32"/>
        </w:rPr>
        <w:t>尽</w:t>
      </w:r>
      <w:r>
        <w:rPr>
          <w:rFonts w:hint="eastAsia" w:ascii="仿宋" w:hAnsi="仿宋" w:eastAsia="仿宋"/>
          <w:color w:val="auto"/>
          <w:sz w:val="32"/>
          <w:szCs w:val="32"/>
        </w:rPr>
        <w:t>最大限度地为申请人提供一切便利。经多次梳理，我局现有五大类政务服务事项，其中包括行政许可、行政处罚、行政检查、行政强制其他权力事项，行政许可事项全部进入办事大厅，进行网上办理。</w:t>
      </w:r>
    </w:p>
    <w:p w14:paraId="021E255F">
      <w:pPr>
        <w:ind w:firstLine="643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3．深化放管服改革，扎实开展便民服务工作。</w:t>
      </w:r>
      <w:r>
        <w:rPr>
          <w:rFonts w:hint="eastAsia" w:ascii="仿宋" w:hAnsi="仿宋" w:eastAsia="仿宋"/>
          <w:color w:val="auto"/>
          <w:sz w:val="32"/>
          <w:szCs w:val="32"/>
        </w:rPr>
        <w:t>认真贯彻落实 “互联网＋政务服务”工作要求，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完成全国文化监管服务平台审批事项10件、营业性演出事项9项，完成窗口咨询服务200余件，学习并维护本年度新上线的审批系统6个包含综窗审批系统、行政职权系统，其中行政职权系统认领修改事项50余项，每项100多个事项要素保持动态修改维护；完成辽宁省事项库管理系统修改办事指南工作。目前我局网站前台展示50项行政事项，按照营商局大连要求随时动态修改每项内容，全年修改200余次。完成大连工程建设联合审批平台的更新，原有20余个审批等系统继续保持修改更新和受理,</w:t>
      </w:r>
      <w:r>
        <w:rPr>
          <w:rFonts w:hint="eastAsia" w:ascii="仿宋" w:hAnsi="仿宋" w:eastAsia="仿宋"/>
          <w:color w:val="auto"/>
          <w:sz w:val="32"/>
          <w:szCs w:val="32"/>
        </w:rPr>
        <w:t>让群众和企业少跑腿、好办事、不添堵。</w:t>
      </w:r>
    </w:p>
    <w:p w14:paraId="2A573B44">
      <w:pPr>
        <w:ind w:firstLine="643" w:firstLineChars="200"/>
        <w:rPr>
          <w:rFonts w:ascii="楷体" w:hAnsi="楷体" w:eastAsia="楷体"/>
          <w:b/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（二）完善依法行政制度体系建设</w:t>
      </w:r>
    </w:p>
    <w:p w14:paraId="5C98D5C0">
      <w:pPr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我局在原有基础上完善了各项管理制度，梳理为管理类、行政类、执法类、学习类、奖惩类五大类17项制度，形成《文旅局机关规章制度汇编》印发全系统，并在局网站进行了公示，有力地保障了各项机制的高效运行和高效工作的顺利执行。</w:t>
      </w:r>
    </w:p>
    <w:p w14:paraId="2C258292">
      <w:pPr>
        <w:ind w:firstLine="643" w:firstLineChars="200"/>
        <w:rPr>
          <w:rFonts w:ascii="楷体" w:hAnsi="楷体" w:eastAsia="楷体"/>
          <w:b/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（三）推进行政决策科学化、民主化、法治化</w:t>
      </w:r>
    </w:p>
    <w:p w14:paraId="6726F2BA">
      <w:pPr>
        <w:ind w:firstLine="643" w:firstLineChars="200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1．规范抽象行政行为。</w:t>
      </w:r>
      <w:r>
        <w:rPr>
          <w:rFonts w:hint="eastAsia" w:ascii="仿宋" w:hAnsi="仿宋" w:eastAsia="仿宋"/>
          <w:color w:val="auto"/>
          <w:sz w:val="32"/>
          <w:szCs w:val="32"/>
        </w:rPr>
        <w:t>对文旅局重大行政决策事项的权利、范围和量化标准进行了重新界定，根据新标准制定了机关2024年重大行政决策事项目录，对本部门自由裁量权进行了梳理，优化了行政流程。</w:t>
      </w:r>
    </w:p>
    <w:p w14:paraId="56023396">
      <w:pPr>
        <w:ind w:firstLine="643" w:firstLineChars="200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2．落实三重一大制度。</w:t>
      </w:r>
      <w:r>
        <w:rPr>
          <w:rFonts w:hint="eastAsia" w:ascii="仿宋" w:hAnsi="仿宋" w:eastAsia="仿宋"/>
          <w:color w:val="auto"/>
          <w:sz w:val="32"/>
          <w:szCs w:val="32"/>
        </w:rPr>
        <w:t>认真开展“三重一大”决策制度的学习宣传，使全系统干部职员充分认识到制度实施的重要意义和作用，部门所有决策由集体讨论研究决定；及时研究办理人大代表建议、政协委员提案，满意率达100％。</w:t>
      </w:r>
    </w:p>
    <w:p w14:paraId="56B40E67">
      <w:pPr>
        <w:ind w:firstLine="643" w:firstLineChars="200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3．执行“信息公开”和“党务政务公开”制度。</w:t>
      </w:r>
      <w:r>
        <w:rPr>
          <w:rFonts w:hint="eastAsia" w:ascii="仿宋" w:hAnsi="仿宋" w:eastAsia="仿宋"/>
          <w:color w:val="auto"/>
          <w:sz w:val="32"/>
          <w:szCs w:val="32"/>
        </w:rPr>
        <w:t>利用局门户网站、“庄河文化旅游”微信公众号、双公示网站等平台，公示本部门重大决策和重要信息，不定期发布部门工作动态，扩大本部门党务政务、执法信息等公开内容，让群众全面了解文旅部门工作的运行状况。</w:t>
      </w:r>
    </w:p>
    <w:p w14:paraId="6D3884C7">
      <w:pPr>
        <w:ind w:firstLine="643" w:firstLineChars="200"/>
        <w:rPr>
          <w:rFonts w:ascii="楷体" w:hAnsi="楷体" w:eastAsia="楷体"/>
          <w:b/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（四）严格规范性文件的管理</w:t>
      </w:r>
    </w:p>
    <w:p w14:paraId="5E108DE2">
      <w:pPr>
        <w:ind w:firstLine="643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1．加强规范性文件管理。</w:t>
      </w:r>
      <w:r>
        <w:rPr>
          <w:rFonts w:hint="eastAsia" w:ascii="仿宋" w:hAnsi="仿宋" w:eastAsia="仿宋"/>
          <w:color w:val="auto"/>
          <w:sz w:val="32"/>
          <w:szCs w:val="32"/>
        </w:rPr>
        <w:t>对本部门的规范性文件进行两次清理，重新审核文化、体育、旅游、文物领域发布的相关文件，根据现行法律、法规、规章及实际需要决定文件的使用或废止。</w:t>
      </w:r>
    </w:p>
    <w:p w14:paraId="078C8E44">
      <w:pPr>
        <w:ind w:firstLine="643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2．加强业务培训。</w:t>
      </w:r>
      <w:r>
        <w:rPr>
          <w:rFonts w:hint="eastAsia" w:ascii="仿宋" w:hAnsi="仿宋" w:eastAsia="仿宋"/>
          <w:color w:val="auto"/>
          <w:sz w:val="32"/>
          <w:szCs w:val="32"/>
        </w:rPr>
        <w:t>派业务骨干参与涉及本部门规范性文件的制定，参加听证会、论证会和座谈会，结合实际反馈相关问题，真实提出合理合规合法的意见建议。</w:t>
      </w:r>
    </w:p>
    <w:p w14:paraId="7B466EDE">
      <w:pPr>
        <w:ind w:firstLine="643" w:firstLineChars="200"/>
        <w:rPr>
          <w:rFonts w:ascii="楷体" w:hAnsi="楷体" w:eastAsia="楷体"/>
          <w:b/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（五）坚持规范公正文明执法</w:t>
      </w:r>
    </w:p>
    <w:p w14:paraId="4CA916D1">
      <w:pPr>
        <w:ind w:firstLine="643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1．规范具体行政行为。</w:t>
      </w:r>
      <w:r>
        <w:rPr>
          <w:rFonts w:hint="eastAsia" w:ascii="仿宋" w:hAnsi="仿宋" w:eastAsia="仿宋"/>
          <w:color w:val="auto"/>
          <w:sz w:val="32"/>
          <w:szCs w:val="32"/>
        </w:rPr>
        <w:t>为保障具体行政行为合法、规范，我局健全完善了各项行政执法行为的程序及规章制度，执法人员一律实行执证上岗，在执法检查、处罚时主动出示有效的</w:t>
      </w:r>
      <w:r>
        <w:rPr>
          <w:rFonts w:hint="eastAsia" w:ascii="仿宋" w:hAnsi="仿宋" w:eastAsia="仿宋"/>
          <w:color w:val="auto"/>
          <w:sz w:val="32"/>
          <w:szCs w:val="32"/>
        </w:rPr>
        <w:t>执</w:t>
      </w:r>
      <w:r>
        <w:rPr>
          <w:rFonts w:hint="eastAsia" w:ascii="仿宋" w:hAnsi="仿宋" w:eastAsia="仿宋"/>
          <w:color w:val="auto"/>
          <w:sz w:val="32"/>
          <w:szCs w:val="32"/>
        </w:rPr>
        <w:t>法证件。深入推进行政执法“三项制度”，执行行政执法全过程记录制度，认真开展重大行政处罚决定的审查备案。健全完善随机抽查事项清单、随机分类企业名单库系统、执法人员库系统和抽查细则，实施“双随机、一公开”监管制度，扎实开展“双随机、一公开”检查工作。</w:t>
      </w:r>
    </w:p>
    <w:p w14:paraId="597F2DD1">
      <w:pPr>
        <w:ind w:firstLine="643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2．强化行政执法人员岗位培训。</w:t>
      </w:r>
      <w:r>
        <w:rPr>
          <w:rFonts w:hint="eastAsia" w:ascii="仿宋" w:hAnsi="仿宋" w:eastAsia="仿宋"/>
          <w:color w:val="auto"/>
          <w:sz w:val="32"/>
          <w:szCs w:val="32"/>
        </w:rPr>
        <w:t>为加强执法的公正、规范，我们用“请进来、派出去”的方式，组织开展行政执法人员通用法律知识、专门法律知识、新法律法规等培训；积极参与各级组织的“岗位练兵”、“执法技能竞赛”和线上学习等活动；确保行政执法人员熟练掌握行政执法依据和流程，努力提升行政执法素养和水平。</w:t>
      </w:r>
    </w:p>
    <w:p w14:paraId="78D9A5F5">
      <w:pPr>
        <w:ind w:firstLine="643" w:firstLineChars="2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3．加强执法力度。</w:t>
      </w:r>
      <w:r>
        <w:rPr>
          <w:rFonts w:hint="eastAsia" w:ascii="仿宋" w:hAnsi="仿宋" w:eastAsia="仿宋"/>
          <w:color w:val="auto"/>
          <w:sz w:val="32"/>
          <w:szCs w:val="32"/>
        </w:rPr>
        <w:t>全年共出动执法人员400余人次，开展了36次行业领域专项检查活动，巡查网吧，娱乐场所、印刷、音像、书报刊、旅游企业等经营场所1000余家次。形成经常性、常规性检查制度。全市文化市场、体育活动场馆、旅游景点未发生安全生产事故。2024年，本部门未发生过越权、违法行使检查权、处罚权、行政强制措施</w:t>
      </w:r>
      <w:r>
        <w:rPr>
          <w:rFonts w:hint="eastAsia" w:ascii="仿宋" w:hAnsi="仿宋" w:eastAsia="仿宋"/>
          <w:color w:val="auto"/>
          <w:sz w:val="32"/>
          <w:szCs w:val="32"/>
        </w:rPr>
        <w:t>等情况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。</w:t>
      </w:r>
    </w:p>
    <w:p w14:paraId="6B58C74A">
      <w:pPr>
        <w:ind w:firstLine="643" w:firstLineChars="200"/>
        <w:rPr>
          <w:rFonts w:ascii="楷体" w:hAnsi="楷体" w:eastAsia="楷体"/>
          <w:b/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（六）及时化解矛盾纠纷</w:t>
      </w:r>
    </w:p>
    <w:p w14:paraId="3BAB54C6">
      <w:pPr>
        <w:spacing w:line="360" w:lineRule="auto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落实国务院《信访条例》，妥善处置涉军访事项，主要领导、分管领导先后约见信访人16次，经多次协商，我局已与信访人化解方案初步达成共识，目前双方就化解方案细节正在商讨当中，实现息访。及时解决群众合理诉求。2024年，受理各类群众投诉132件，办结率100％。</w:t>
      </w:r>
    </w:p>
    <w:p w14:paraId="64C2149D">
      <w:pPr>
        <w:ind w:firstLine="643" w:firstLineChars="200"/>
        <w:rPr>
          <w:rFonts w:hint="eastAsia" w:ascii="楷体" w:hAnsi="楷体" w:eastAsia="楷体"/>
          <w:b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（七）推行法律顾问</w:t>
      </w:r>
      <w:r>
        <w:rPr>
          <w:rFonts w:hint="eastAsia" w:ascii="楷体" w:hAnsi="楷体" w:eastAsia="楷体"/>
          <w:b/>
          <w:color w:val="auto"/>
          <w:sz w:val="32"/>
          <w:szCs w:val="32"/>
          <w:lang w:eastAsia="zh-CN"/>
        </w:rPr>
        <w:t>制度</w:t>
      </w:r>
    </w:p>
    <w:p w14:paraId="6964B14E">
      <w:pPr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聘请专业第三方法律机构担任法律顾问，坚持在重大决策、重大行政执法决定、行政监督、信访接待、规范性文件制定等重要行政行为环节实行法律顾问把关。</w:t>
      </w:r>
    </w:p>
    <w:p w14:paraId="56EC2138">
      <w:pPr>
        <w:ind w:firstLine="643" w:firstLineChars="200"/>
        <w:rPr>
          <w:rFonts w:ascii="黑体" w:hAnsi="黑体" w:eastAsia="黑体"/>
          <w:b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32"/>
        </w:rPr>
        <w:t>二、2024年推进法治政府建设存在不足</w:t>
      </w:r>
    </w:p>
    <w:p w14:paraId="49C19CAC">
      <w:pPr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我局法制建设在局领导高度重视和各科室、局属单位的大力支持下，取得了一定成绩，但还存在较大的差距，主要表现在：</w:t>
      </w:r>
    </w:p>
    <w:p w14:paraId="5258B1D5">
      <w:pPr>
        <w:ind w:firstLine="643" w:firstLineChars="200"/>
        <w:rPr>
          <w:rFonts w:ascii="楷体" w:hAnsi="楷体" w:eastAsia="楷体"/>
          <w:b/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（一）服务水平有待进一步提高</w:t>
      </w:r>
    </w:p>
    <w:p w14:paraId="2E10F2C4">
      <w:pPr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由于日常工作繁杂，深入基层走访、调研不够深入，因此侧重上传下达较多，为企业解决实际问题相对较少，服务力度稍有欠缺。</w:t>
      </w:r>
    </w:p>
    <w:p w14:paraId="26A04D56">
      <w:pPr>
        <w:ind w:firstLine="643" w:firstLineChars="200"/>
        <w:rPr>
          <w:rFonts w:ascii="楷体" w:hAnsi="楷体" w:eastAsia="楷体"/>
          <w:b/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（二）培训工作有待加强，人员素质有待提高</w:t>
      </w:r>
    </w:p>
    <w:p w14:paraId="141E5D53">
      <w:pPr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一是执法人员少，素质和执法水平仍须进一步提高，执法装备、取证设备还需添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置</w:t>
      </w:r>
      <w:r>
        <w:rPr>
          <w:rFonts w:hint="eastAsia" w:ascii="仿宋" w:hAnsi="仿宋" w:eastAsia="仿宋"/>
          <w:color w:val="auto"/>
          <w:sz w:val="32"/>
          <w:szCs w:val="32"/>
        </w:rPr>
        <w:t>；二是加大部门法律法规的宣传力度，强化依法行政，依法办事的意识，进一步提高全局干部职工的法制素质。</w:t>
      </w:r>
    </w:p>
    <w:p w14:paraId="3A108CE8">
      <w:pPr>
        <w:ind w:firstLine="645"/>
        <w:rPr>
          <w:rFonts w:ascii="黑体" w:hAnsi="黑体" w:eastAsia="黑体"/>
          <w:b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32"/>
        </w:rPr>
        <w:t>三、2024年主要</w:t>
      </w:r>
      <w:r>
        <w:rPr>
          <w:rFonts w:hint="eastAsia" w:ascii="黑体" w:hAnsi="黑体" w:eastAsia="黑体"/>
          <w:b/>
          <w:color w:val="auto"/>
          <w:sz w:val="32"/>
          <w:szCs w:val="32"/>
        </w:rPr>
        <w:t>责任人</w:t>
      </w:r>
      <w:r>
        <w:rPr>
          <w:rFonts w:hint="eastAsia" w:ascii="黑体" w:hAnsi="黑体" w:eastAsia="黑体"/>
          <w:b/>
          <w:color w:val="auto"/>
          <w:sz w:val="32"/>
          <w:szCs w:val="32"/>
        </w:rPr>
        <w:t>履行法治建设第一责任人职责情况</w:t>
      </w:r>
    </w:p>
    <w:p w14:paraId="5001901A">
      <w:pPr>
        <w:ind w:firstLine="645"/>
        <w:rPr>
          <w:rFonts w:ascii="楷体" w:hAnsi="楷体" w:eastAsia="楷体"/>
          <w:b/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（一）带头履行法治建设第一责任人职责</w:t>
      </w:r>
    </w:p>
    <w:p w14:paraId="4DEC21EF">
      <w:pPr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　　始终坚持重大问题</w:t>
      </w:r>
      <w:r>
        <w:rPr>
          <w:rFonts w:hint="eastAsia" w:ascii="仿宋" w:hAnsi="仿宋" w:eastAsia="仿宋"/>
          <w:color w:val="auto"/>
          <w:sz w:val="32"/>
          <w:szCs w:val="32"/>
        </w:rPr>
        <w:t>亲自</w:t>
      </w:r>
      <w:r>
        <w:rPr>
          <w:rFonts w:hint="eastAsia" w:ascii="仿宋" w:hAnsi="仿宋" w:eastAsia="仿宋"/>
          <w:color w:val="auto"/>
          <w:sz w:val="32"/>
          <w:szCs w:val="32"/>
        </w:rPr>
        <w:t>过问、重点环节</w:t>
      </w:r>
      <w:r>
        <w:rPr>
          <w:rFonts w:hint="eastAsia" w:ascii="仿宋" w:hAnsi="仿宋" w:eastAsia="仿宋"/>
          <w:color w:val="auto"/>
          <w:sz w:val="32"/>
          <w:szCs w:val="32"/>
        </w:rPr>
        <w:t>亲自</w:t>
      </w:r>
      <w:r>
        <w:rPr>
          <w:rFonts w:hint="eastAsia" w:ascii="仿宋" w:hAnsi="仿宋" w:eastAsia="仿宋"/>
          <w:color w:val="auto"/>
          <w:sz w:val="32"/>
          <w:szCs w:val="32"/>
        </w:rPr>
        <w:t>协调、重大任务</w:t>
      </w:r>
      <w:r>
        <w:rPr>
          <w:rFonts w:hint="eastAsia" w:ascii="仿宋" w:hAnsi="仿宋" w:eastAsia="仿宋"/>
          <w:color w:val="auto"/>
          <w:sz w:val="32"/>
          <w:szCs w:val="32"/>
        </w:rPr>
        <w:t>亲自</w:t>
      </w:r>
      <w:r>
        <w:rPr>
          <w:rFonts w:hint="eastAsia" w:ascii="仿宋" w:hAnsi="仿宋" w:eastAsia="仿宋"/>
          <w:color w:val="auto"/>
          <w:sz w:val="32"/>
          <w:szCs w:val="32"/>
        </w:rPr>
        <w:t>督导，定期牵头研究推进法治工作，牵头谋划制定了2024年度法治建设工作目标任务，并将其纳入全局工作规划和年度工作计划，切实做到与文旅工作同部署、同安排、同推进，适时掌握新情况、把握新动向、调整新策略，有效推动了文旅法治工作任务的落实落细。</w:t>
      </w:r>
    </w:p>
    <w:p w14:paraId="288325E3">
      <w:pPr>
        <w:ind w:firstLine="630"/>
        <w:rPr>
          <w:rFonts w:ascii="楷体" w:hAnsi="楷体" w:eastAsia="楷体"/>
          <w:b/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（二）坚持在工作中锤炼“</w:t>
      </w:r>
      <w:r>
        <w:rPr>
          <w:rFonts w:hint="eastAsia" w:ascii="楷体" w:hAnsi="楷体" w:eastAsia="楷体"/>
          <w:b/>
          <w:color w:val="auto"/>
          <w:sz w:val="32"/>
          <w:szCs w:val="32"/>
          <w:lang w:eastAsia="zh-CN"/>
        </w:rPr>
        <w:t>法治化</w:t>
      </w:r>
      <w:r>
        <w:rPr>
          <w:rFonts w:hint="eastAsia" w:ascii="楷体" w:hAnsi="楷体" w:eastAsia="楷体"/>
          <w:b/>
          <w:color w:val="auto"/>
          <w:sz w:val="32"/>
          <w:szCs w:val="32"/>
        </w:rPr>
        <w:t>”修养</w:t>
      </w:r>
    </w:p>
    <w:p w14:paraId="19EFC9B8">
      <w:pPr>
        <w:ind w:firstLine="63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带领班子成员先后开展中心组理论法治专题学习活动7次，同时参加全市党政机关领导干部普法培训3次，自觉把工作融入到依法治国、依法治市工作思路中，进一步开阔了眼界，拓宽了思路。</w:t>
      </w:r>
    </w:p>
    <w:p w14:paraId="2CF4328E">
      <w:pPr>
        <w:rPr>
          <w:rFonts w:ascii="楷体" w:hAnsi="楷体" w:eastAsia="楷体"/>
          <w:b/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　　（三）全面提高干部职工法律素质和社会法治化水平</w:t>
      </w:r>
    </w:p>
    <w:p w14:paraId="4C11DCE1">
      <w:pPr>
        <w:ind w:firstLine="63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组织干部职工学习了《公务员依法行政读本》、《干部法律知识读本》、《中华人民共和国价格法》、《政府投资项目管理办法》等法律法规，涉及安全生产、防灾减灾、应急管理等多领域。坚持把青年干部法治教育摆在重要位置，全面完成法治教育</w:t>
      </w:r>
      <w:r>
        <w:rPr>
          <w:rFonts w:hint="eastAsia" w:ascii="仿宋" w:hAnsi="仿宋" w:eastAsia="仿宋"/>
          <w:color w:val="auto"/>
          <w:sz w:val="32"/>
          <w:szCs w:val="32"/>
        </w:rPr>
        <w:t>网</w:t>
      </w:r>
      <w:r>
        <w:rPr>
          <w:rFonts w:hint="eastAsia" w:ascii="仿宋" w:hAnsi="仿宋" w:eastAsia="仿宋"/>
          <w:color w:val="auto"/>
          <w:sz w:val="32"/>
          <w:szCs w:val="32"/>
        </w:rPr>
        <w:t>培训课题学习及考试任务。</w:t>
      </w:r>
    </w:p>
    <w:p w14:paraId="2535EC4A">
      <w:pPr>
        <w:ind w:firstLine="643" w:firstLineChars="200"/>
        <w:rPr>
          <w:rFonts w:ascii="黑体" w:hAnsi="黑体" w:eastAsia="黑体"/>
          <w:b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32"/>
        </w:rPr>
        <w:t>四、2025年推进法治政府建设工作安排</w:t>
      </w:r>
    </w:p>
    <w:p w14:paraId="41FA78E2">
      <w:pPr>
        <w:ind w:firstLine="643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（一）强化制度建设。</w:t>
      </w:r>
      <w:r>
        <w:rPr>
          <w:rFonts w:hint="eastAsia" w:ascii="仿宋" w:hAnsi="仿宋" w:eastAsia="仿宋"/>
          <w:color w:val="auto"/>
          <w:sz w:val="32"/>
          <w:szCs w:val="32"/>
        </w:rPr>
        <w:t>以文明服务为突破口，带动文化旅游工作全面开展做好宣传、动员等基础工作，把公示制、承诺制渗透到文旅系统的各项工作中，不断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修订</w:t>
      </w:r>
      <w:r>
        <w:rPr>
          <w:rFonts w:hint="eastAsia" w:ascii="仿宋" w:hAnsi="仿宋" w:eastAsia="仿宋"/>
          <w:color w:val="auto"/>
          <w:sz w:val="32"/>
          <w:szCs w:val="32"/>
        </w:rPr>
        <w:t>、完善内部管理机制；突出文明服务建设，促进规范运作。</w:t>
      </w:r>
    </w:p>
    <w:p w14:paraId="44680BBF">
      <w:pPr>
        <w:ind w:firstLine="643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（二）加强执法队伍建设。</w:t>
      </w:r>
      <w:r>
        <w:rPr>
          <w:rFonts w:hint="eastAsia" w:ascii="仿宋" w:hAnsi="仿宋" w:eastAsia="仿宋"/>
          <w:color w:val="auto"/>
          <w:sz w:val="32"/>
          <w:szCs w:val="32"/>
        </w:rPr>
        <w:t>狠抓工作作风，增强责任意识进一步增强法律意识，从规范行政执法主体入手，落实执法责任制，加强执法档案管理，加大执法力度，提高依法行政的自觉性和执法水平，树立文化旅游部门严格公正执法的良好形象。进一步增强创新意识，根据工作中出现的新情况、新问题，制定应对的具体措施，大胆创新。</w:t>
      </w:r>
    </w:p>
    <w:p w14:paraId="5D9BD38B">
      <w:pPr>
        <w:ind w:firstLine="643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（三）优化行政执法保障。</w:t>
      </w:r>
      <w:r>
        <w:rPr>
          <w:rFonts w:hint="eastAsia" w:ascii="仿宋" w:hAnsi="仿宋" w:eastAsia="仿宋"/>
          <w:color w:val="auto"/>
          <w:sz w:val="32"/>
          <w:szCs w:val="32"/>
        </w:rPr>
        <w:t>除了在执法经费、执法设备等方面予以优先考虑外，对长期在一线工作的行政执法人员，在评优、奖先等方面建议增加权重比例，以保障执法队伍的相对稳定以及执法人员的工作积极性。</w:t>
      </w:r>
    </w:p>
    <w:p w14:paraId="4630C099">
      <w:pPr>
        <w:ind w:firstLine="640" w:firstLineChars="200"/>
        <w:rPr>
          <w:rFonts w:ascii="楷体" w:hAnsi="楷体" w:eastAsia="楷体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（四）加强局机关自身建设。</w:t>
      </w:r>
      <w:r>
        <w:rPr>
          <w:rFonts w:hint="eastAsia" w:ascii="仿宋" w:hAnsi="仿宋" w:eastAsia="仿宋"/>
          <w:color w:val="auto"/>
          <w:sz w:val="32"/>
          <w:szCs w:val="32"/>
        </w:rPr>
        <w:t>以党的二十大和二十届二中、三中全会精神为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指引，进一步加强机关自身党的建设和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队伍能力建设，加强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</w:rPr>
        <w:t>党风廉政建设主体责任</w:t>
      </w:r>
      <w:r>
        <w:rPr>
          <w:rFonts w:hint="eastAsia" w:ascii="仿宋" w:hAnsi="仿宋" w:eastAsia="仿宋"/>
          <w:color w:val="auto"/>
          <w:sz w:val="32"/>
          <w:szCs w:val="32"/>
        </w:rPr>
        <w:t>和</w:t>
      </w:r>
      <w:r>
        <w:rPr>
          <w:rFonts w:hint="eastAsia" w:ascii="仿宋" w:hAnsi="仿宋" w:eastAsia="仿宋"/>
          <w:color w:val="auto"/>
          <w:sz w:val="32"/>
          <w:szCs w:val="32"/>
        </w:rPr>
        <w:t>监督责任的落实，进一步增强党员干部的“四个意识”。完善机关制度管理体系，对机关会务、文务、财务、人事等工作进行全面规范，努力创先争优，确保机关管理各项工作有序开展。</w:t>
      </w:r>
    </w:p>
    <w:p w14:paraId="038400AF">
      <w:pPr>
        <w:rPr>
          <w:rFonts w:eastAsia="仿宋"/>
          <w:color w:val="auto"/>
          <w:sz w:val="32"/>
          <w:szCs w:val="32"/>
        </w:rPr>
      </w:pPr>
    </w:p>
    <w:p w14:paraId="2DEAD24C">
      <w:pPr>
        <w:ind w:firstLine="4320" w:firstLineChars="13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eastAsia="仿宋"/>
          <w:color w:val="auto"/>
          <w:sz w:val="32"/>
          <w:szCs w:val="32"/>
        </w:rPr>
        <w:t>庄河</w:t>
      </w:r>
      <w:r>
        <w:rPr>
          <w:rFonts w:hint="eastAsia" w:ascii="仿宋" w:hAnsi="仿宋" w:eastAsia="仿宋"/>
          <w:color w:val="auto"/>
          <w:sz w:val="32"/>
          <w:szCs w:val="32"/>
        </w:rPr>
        <w:t>市文化和旅游局</w:t>
      </w:r>
    </w:p>
    <w:p w14:paraId="4437BF0C">
      <w:pPr>
        <w:ind w:firstLine="4640" w:firstLineChars="14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2025年1月2日</w:t>
      </w:r>
    </w:p>
    <w:p w14:paraId="48D65C9A">
      <w:pPr>
        <w:rPr>
          <w:rFonts w:ascii="仿宋" w:hAnsi="仿宋" w:eastAsia="仿宋"/>
          <w:color w:val="auto"/>
          <w:sz w:val="32"/>
          <w:szCs w:val="32"/>
        </w:rPr>
      </w:pPr>
    </w:p>
    <w:p w14:paraId="39B9AF96">
      <w:pPr>
        <w:rPr>
          <w:color w:val="auto"/>
        </w:rPr>
      </w:pPr>
    </w:p>
    <w:p w14:paraId="2F504487">
      <w:pPr>
        <w:rPr>
          <w:color w:val="auto"/>
        </w:rPr>
      </w:pPr>
    </w:p>
    <w:p w14:paraId="67122BAD">
      <w:pPr>
        <w:rPr>
          <w:color w:val="auto"/>
        </w:rPr>
      </w:pPr>
    </w:p>
    <w:p w14:paraId="7D176563">
      <w:pPr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68336479"/>
      <w:docPartObj>
        <w:docPartGallery w:val="autotext"/>
      </w:docPartObj>
    </w:sdtPr>
    <w:sdtContent>
      <w:p w14:paraId="6C4EBB39"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7</w:t>
        </w:r>
        <w:r>
          <w:rPr>
            <w:lang w:val="zh-CN"/>
          </w:rPr>
          <w:fldChar w:fldCharType="end"/>
        </w:r>
      </w:p>
    </w:sdtContent>
  </w:sdt>
  <w:p w14:paraId="1ED86A4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CA6176"/>
    <w:rsid w:val="001F0545"/>
    <w:rsid w:val="0022346A"/>
    <w:rsid w:val="00291B93"/>
    <w:rsid w:val="002A6413"/>
    <w:rsid w:val="00335525"/>
    <w:rsid w:val="0040253A"/>
    <w:rsid w:val="00793227"/>
    <w:rsid w:val="00A4346F"/>
    <w:rsid w:val="00C93F83"/>
    <w:rsid w:val="00CA6176"/>
    <w:rsid w:val="00D14243"/>
    <w:rsid w:val="00E64384"/>
    <w:rsid w:val="00E70107"/>
    <w:rsid w:val="00F80BA5"/>
    <w:rsid w:val="08C75492"/>
    <w:rsid w:val="0C80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3423</Words>
  <Characters>3489</Characters>
  <Lines>24</Lines>
  <Paragraphs>6</Paragraphs>
  <TotalTime>47</TotalTime>
  <ScaleCrop>false</ScaleCrop>
  <LinksUpToDate>false</LinksUpToDate>
  <CharactersWithSpaces>3506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2025-01-01T02:09:00Z</dcterms:created>
  <dc:creator>解瑞东</dc:creator>
  <cp:lastModifiedBy>奔跑的蜗牛秋</cp:lastModifiedBy>
  <dcterms:modified xsi:type="dcterms:W3CDTF">2025-03-27T03:23:14Z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eyJoZGlkIjoiMTMxMzg5Y2EwNWJmZjEyMjA2YTIxN2M4OTU1MmQxYTUiLCJ1c2VySWQiOiI3MzE0MTc2MTIifQ==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2CBC2383E58243788537E9E0A67AA8C8_12</vt:lpwstr>
  </property>
</Properties>
</file>