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80D94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20" w:lineRule="exact"/>
        <w:ind w:left="0" w:right="0" w:firstLine="0"/>
        <w:jc w:val="center"/>
        <w:textAlignment w:val="auto"/>
        <w:rPr>
          <w:rFonts w:hint="eastAsia" w:ascii="方正小标宋简体" w:hAnsi="方正小标宋简体" w:eastAsia="方正小标宋简体" w:cs="方正小标宋简体"/>
          <w:b w:val="0"/>
          <w:bCs w:val="0"/>
          <w:i w:val="0"/>
          <w:iCs w:val="0"/>
          <w:caps w:val="0"/>
          <w:color w:val="auto"/>
          <w:spacing w:val="0"/>
          <w:sz w:val="44"/>
          <w:szCs w:val="44"/>
          <w:lang w:eastAsia="zh-CN"/>
        </w:rPr>
      </w:pPr>
      <w:r>
        <w:rPr>
          <w:rFonts w:hint="eastAsia" w:ascii="方正小标宋简体" w:hAnsi="方正小标宋简体" w:eastAsia="方正小标宋简体" w:cs="方正小标宋简体"/>
          <w:b w:val="0"/>
          <w:bCs w:val="0"/>
          <w:i w:val="0"/>
          <w:iCs w:val="0"/>
          <w:caps w:val="0"/>
          <w:color w:val="auto"/>
          <w:spacing w:val="0"/>
          <w:sz w:val="44"/>
          <w:szCs w:val="44"/>
          <w:lang w:val="en-US" w:eastAsia="zh-CN"/>
        </w:rPr>
        <w:t>庄河市数据</w:t>
      </w:r>
      <w:r>
        <w:rPr>
          <w:rFonts w:hint="eastAsia" w:ascii="方正小标宋简体" w:hAnsi="方正小标宋简体" w:eastAsia="方正小标宋简体" w:cs="方正小标宋简体"/>
          <w:b w:val="0"/>
          <w:bCs w:val="0"/>
          <w:i w:val="0"/>
          <w:iCs w:val="0"/>
          <w:caps w:val="0"/>
          <w:color w:val="auto"/>
          <w:spacing w:val="0"/>
          <w:sz w:val="44"/>
          <w:szCs w:val="44"/>
        </w:rPr>
        <w:t>局</w:t>
      </w:r>
      <w:r>
        <w:rPr>
          <w:rFonts w:hint="eastAsia" w:ascii="方正小标宋简体" w:hAnsi="方正小标宋简体" w:eastAsia="方正小标宋简体" w:cs="方正小标宋简体"/>
          <w:b w:val="0"/>
          <w:bCs w:val="0"/>
          <w:i w:val="0"/>
          <w:iCs w:val="0"/>
          <w:caps w:val="0"/>
          <w:color w:val="auto"/>
          <w:spacing w:val="0"/>
          <w:sz w:val="44"/>
          <w:szCs w:val="44"/>
          <w:lang w:eastAsia="zh-CN"/>
        </w:rPr>
        <w:t>（</w:t>
      </w:r>
      <w:r>
        <w:rPr>
          <w:rFonts w:hint="eastAsia" w:ascii="方正小标宋简体" w:hAnsi="方正小标宋简体" w:eastAsia="方正小标宋简体" w:cs="方正小标宋简体"/>
          <w:b w:val="0"/>
          <w:bCs w:val="0"/>
          <w:i w:val="0"/>
          <w:iCs w:val="0"/>
          <w:caps w:val="0"/>
          <w:color w:val="auto"/>
          <w:spacing w:val="0"/>
          <w:sz w:val="44"/>
          <w:szCs w:val="44"/>
          <w:lang w:val="en-US" w:eastAsia="zh-CN"/>
        </w:rPr>
        <w:t>庄河市营商环境建设局</w:t>
      </w:r>
      <w:r>
        <w:rPr>
          <w:rFonts w:hint="eastAsia" w:ascii="方正小标宋简体" w:hAnsi="方正小标宋简体" w:eastAsia="方正小标宋简体" w:cs="方正小标宋简体"/>
          <w:b w:val="0"/>
          <w:bCs w:val="0"/>
          <w:i w:val="0"/>
          <w:iCs w:val="0"/>
          <w:caps w:val="0"/>
          <w:color w:val="auto"/>
          <w:spacing w:val="0"/>
          <w:sz w:val="44"/>
          <w:szCs w:val="44"/>
          <w:lang w:eastAsia="zh-CN"/>
        </w:rPr>
        <w:t>）</w:t>
      </w:r>
    </w:p>
    <w:p w14:paraId="78A0081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20" w:lineRule="exact"/>
        <w:ind w:left="0" w:right="0" w:firstLine="0"/>
        <w:jc w:val="center"/>
        <w:textAlignment w:val="auto"/>
        <w:rPr>
          <w:rFonts w:hint="eastAsia" w:ascii="方正小标宋简体" w:hAnsi="方正小标宋简体" w:eastAsia="方正小标宋简体" w:cs="方正小标宋简体"/>
          <w:b w:val="0"/>
          <w:bCs w:val="0"/>
          <w:i w:val="0"/>
          <w:iCs w:val="0"/>
          <w:caps w:val="0"/>
          <w:color w:val="auto"/>
          <w:spacing w:val="0"/>
          <w:sz w:val="44"/>
          <w:szCs w:val="44"/>
        </w:rPr>
      </w:pPr>
      <w:r>
        <w:rPr>
          <w:rFonts w:hint="eastAsia" w:ascii="方正小标宋简体" w:hAnsi="方正小标宋简体" w:eastAsia="方正小标宋简体" w:cs="方正小标宋简体"/>
          <w:b w:val="0"/>
          <w:bCs w:val="0"/>
          <w:i w:val="0"/>
          <w:iCs w:val="0"/>
          <w:caps w:val="0"/>
          <w:color w:val="auto"/>
          <w:spacing w:val="0"/>
          <w:sz w:val="44"/>
          <w:szCs w:val="44"/>
        </w:rPr>
        <w:t>关于202</w:t>
      </w:r>
      <w:r>
        <w:rPr>
          <w:rFonts w:hint="eastAsia" w:ascii="方正小标宋简体" w:hAnsi="方正小标宋简体" w:eastAsia="方正小标宋简体" w:cs="方正小标宋简体"/>
          <w:b w:val="0"/>
          <w:bCs w:val="0"/>
          <w:i w:val="0"/>
          <w:iCs w:val="0"/>
          <w:caps w:val="0"/>
          <w:color w:val="auto"/>
          <w:spacing w:val="0"/>
          <w:sz w:val="44"/>
          <w:szCs w:val="44"/>
          <w:lang w:val="en-US" w:eastAsia="zh-CN"/>
        </w:rPr>
        <w:t>4</w:t>
      </w:r>
      <w:r>
        <w:rPr>
          <w:rFonts w:hint="eastAsia" w:ascii="方正小标宋简体" w:hAnsi="方正小标宋简体" w:eastAsia="方正小标宋简体" w:cs="方正小标宋简体"/>
          <w:b w:val="0"/>
          <w:bCs w:val="0"/>
          <w:i w:val="0"/>
          <w:iCs w:val="0"/>
          <w:caps w:val="0"/>
          <w:color w:val="auto"/>
          <w:spacing w:val="0"/>
          <w:sz w:val="44"/>
          <w:szCs w:val="44"/>
        </w:rPr>
        <w:t>年法治政府建设情况的报告</w:t>
      </w:r>
    </w:p>
    <w:p w14:paraId="4AC65305">
      <w:pPr>
        <w:keepNext w:val="0"/>
        <w:keepLines w:val="0"/>
        <w:pageBreakBefore w:val="0"/>
        <w:kinsoku/>
        <w:wordWrap/>
        <w:overflowPunct/>
        <w:topLinePunct w:val="0"/>
        <w:autoSpaceDE/>
        <w:autoSpaceDN/>
        <w:bidi w:val="0"/>
        <w:adjustRightInd/>
        <w:snapToGrid/>
        <w:spacing w:line="620" w:lineRule="exact"/>
        <w:textAlignment w:val="auto"/>
        <w:rPr>
          <w:color w:val="auto"/>
        </w:rPr>
      </w:pPr>
    </w:p>
    <w:p w14:paraId="6E305EFC">
      <w:pPr>
        <w:keepNext w:val="0"/>
        <w:keepLines w:val="0"/>
        <w:pageBreakBefore w:val="0"/>
        <w:widowControl w:val="0"/>
        <w:kinsoku/>
        <w:wordWrap/>
        <w:overflowPunct/>
        <w:topLinePunct w:val="0"/>
        <w:autoSpaceDE/>
        <w:autoSpaceDN/>
        <w:bidi w:val="0"/>
        <w:adjustRightInd/>
        <w:snapToGrid/>
        <w:spacing w:line="620" w:lineRule="exact"/>
        <w:ind w:firstLine="632" w:firstLineChars="200"/>
        <w:jc w:val="both"/>
        <w:textAlignment w:val="auto"/>
        <w:rPr>
          <w:rFonts w:hint="eastAsia"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val="en-US" w:eastAsia="zh-CN"/>
        </w:rPr>
        <w:t>根据《庄河市2024年推进法治政府建设十项重点任务》《庄河市贯彻落实〈法治政府建设实施纲要（2021-2025）〉重要任务举措分工方案》和有关工作安排，现将市数据局（市营商局）2024年法治政府建设情况报告如下：</w:t>
      </w:r>
    </w:p>
    <w:p w14:paraId="1D7B7884">
      <w:pPr>
        <w:keepNext w:val="0"/>
        <w:keepLines w:val="0"/>
        <w:pageBreakBefore w:val="0"/>
        <w:numPr>
          <w:ilvl w:val="0"/>
          <w:numId w:val="0"/>
        </w:numPr>
        <w:kinsoku/>
        <w:wordWrap/>
        <w:overflowPunct/>
        <w:topLinePunct w:val="0"/>
        <w:autoSpaceDE/>
        <w:autoSpaceDN/>
        <w:bidi w:val="0"/>
        <w:adjustRightInd/>
        <w:snapToGrid/>
        <w:spacing w:line="620" w:lineRule="exact"/>
        <w:ind w:firstLine="632" w:firstLineChars="200"/>
        <w:textAlignment w:val="auto"/>
        <w:rPr>
          <w:rFonts w:hint="eastAsia" w:ascii="黑体" w:hAnsi="黑体" w:eastAsia="黑体" w:cs="黑体"/>
          <w:color w:val="auto"/>
          <w:sz w:val="32"/>
          <w:szCs w:val="32"/>
          <w:lang w:eastAsia="zh-CN"/>
        </w:rPr>
      </w:pPr>
      <w:r>
        <w:rPr>
          <w:rFonts w:hint="eastAsia" w:ascii="黑体" w:hAnsi="黑体" w:eastAsia="黑体" w:cs="黑体"/>
          <w:color w:val="auto"/>
          <w:sz w:val="32"/>
          <w:szCs w:val="32"/>
          <w:lang w:val="en-US" w:eastAsia="zh-CN"/>
        </w:rPr>
        <w:t>一、</w:t>
      </w:r>
      <w:r>
        <w:rPr>
          <w:rFonts w:hint="eastAsia" w:ascii="黑体" w:hAnsi="黑体" w:eastAsia="黑体" w:cs="黑体"/>
          <w:color w:val="auto"/>
          <w:sz w:val="32"/>
          <w:szCs w:val="32"/>
          <w:lang w:eastAsia="zh-CN"/>
        </w:rPr>
        <w:t>主要措施和成效</w:t>
      </w:r>
    </w:p>
    <w:p w14:paraId="4BFF0831">
      <w:pPr>
        <w:keepNext w:val="0"/>
        <w:keepLines w:val="0"/>
        <w:pageBreakBefore w:val="0"/>
        <w:widowControl w:val="0"/>
        <w:kinsoku/>
        <w:wordWrap/>
        <w:overflowPunct/>
        <w:topLinePunct w:val="0"/>
        <w:autoSpaceDE/>
        <w:autoSpaceDN/>
        <w:bidi w:val="0"/>
        <w:adjustRightInd/>
        <w:snapToGrid/>
        <w:spacing w:line="620" w:lineRule="exact"/>
        <w:ind w:firstLine="632" w:firstLineChars="200"/>
        <w:jc w:val="both"/>
        <w:textAlignment w:val="auto"/>
        <w:rPr>
          <w:rFonts w:hint="eastAsia" w:ascii="楷体_GB2312" w:hAnsi="楷体_GB2312" w:eastAsia="楷体_GB2312" w:cs="楷体_GB2312"/>
          <w:color w:val="auto"/>
          <w:sz w:val="32"/>
          <w:szCs w:val="32"/>
          <w:lang w:val="en-US" w:eastAsia="zh-CN"/>
        </w:rPr>
      </w:pPr>
      <w:r>
        <w:rPr>
          <w:rFonts w:hint="eastAsia" w:ascii="楷体_GB2312" w:hAnsi="楷体_GB2312" w:eastAsia="楷体_GB2312" w:cs="楷体_GB2312"/>
          <w:color w:val="auto"/>
          <w:sz w:val="32"/>
          <w:szCs w:val="32"/>
          <w:lang w:val="en-US" w:eastAsia="zh-CN"/>
        </w:rPr>
        <w:t>（一）深入学习贯彻习近平法治思想</w:t>
      </w:r>
    </w:p>
    <w:p w14:paraId="650FB40C">
      <w:pPr>
        <w:keepNext w:val="0"/>
        <w:keepLines w:val="0"/>
        <w:pageBreakBefore w:val="0"/>
        <w:widowControl w:val="0"/>
        <w:kinsoku/>
        <w:wordWrap/>
        <w:overflowPunct/>
        <w:topLinePunct w:val="0"/>
        <w:autoSpaceDE/>
        <w:autoSpaceDN/>
        <w:bidi w:val="0"/>
        <w:adjustRightInd/>
        <w:snapToGrid/>
        <w:spacing w:line="620" w:lineRule="exact"/>
        <w:ind w:firstLine="632" w:firstLineChars="200"/>
        <w:jc w:val="both"/>
        <w:textAlignment w:val="auto"/>
        <w:rPr>
          <w:rFonts w:hint="eastAsia"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val="en-US" w:eastAsia="zh-CN"/>
        </w:rPr>
        <w:t>局党组充分认识学习习近平法治思想重大意义，将习近平法治思想作为重要学习内容，纳入党组理论学习中心组学习计划，建立常态学习机制，围绕“全面推进依法治国”组织专题研讨，狠抓法治建设，全面推进依法行政、优化营商环境、创建法治型机关，不断提高全局法治化综合管理水平和工作能力。组织开展多轮党的二十届三中全会精神学习活动，全体工作人员结合“机关大讲堂”活动进行主题轮讲，促进全局上下深刻领会党的二十届三中全会提出的全面依法治国精神实质和实践要求，为我局营商环境健康发展提供良好的法治保障。</w:t>
      </w:r>
    </w:p>
    <w:p w14:paraId="02150483">
      <w:pPr>
        <w:keepNext w:val="0"/>
        <w:keepLines w:val="0"/>
        <w:pageBreakBefore w:val="0"/>
        <w:widowControl w:val="0"/>
        <w:kinsoku/>
        <w:wordWrap/>
        <w:overflowPunct/>
        <w:topLinePunct w:val="0"/>
        <w:autoSpaceDE/>
        <w:autoSpaceDN/>
        <w:bidi w:val="0"/>
        <w:adjustRightInd/>
        <w:snapToGrid/>
        <w:spacing w:line="620" w:lineRule="exact"/>
        <w:ind w:firstLine="632" w:firstLineChars="200"/>
        <w:jc w:val="both"/>
        <w:textAlignment w:val="auto"/>
        <w:rPr>
          <w:rFonts w:hint="eastAsia" w:ascii="楷体_GB2312" w:hAnsi="楷体_GB2312" w:eastAsia="楷体_GB2312" w:cs="楷体_GB2312"/>
          <w:color w:val="auto"/>
          <w:sz w:val="32"/>
          <w:szCs w:val="32"/>
          <w:lang w:val="en-US" w:eastAsia="zh-CN"/>
        </w:rPr>
      </w:pPr>
      <w:r>
        <w:rPr>
          <w:rFonts w:hint="eastAsia" w:ascii="楷体_GB2312" w:hAnsi="楷体_GB2312" w:eastAsia="楷体_GB2312" w:cs="楷体_GB2312"/>
          <w:color w:val="auto"/>
          <w:sz w:val="32"/>
          <w:szCs w:val="32"/>
          <w:lang w:val="en-US" w:eastAsia="zh-CN"/>
        </w:rPr>
        <w:t>（二）全面正确履行部门行政职能</w:t>
      </w:r>
    </w:p>
    <w:p w14:paraId="769CB6F5">
      <w:pPr>
        <w:keepNext w:val="0"/>
        <w:keepLines w:val="0"/>
        <w:pageBreakBefore w:val="0"/>
        <w:widowControl w:val="0"/>
        <w:kinsoku/>
        <w:wordWrap/>
        <w:overflowPunct/>
        <w:topLinePunct w:val="0"/>
        <w:autoSpaceDE/>
        <w:autoSpaceDN/>
        <w:bidi w:val="0"/>
        <w:adjustRightInd/>
        <w:snapToGrid/>
        <w:spacing w:line="620" w:lineRule="exact"/>
        <w:ind w:firstLine="632" w:firstLineChars="200"/>
        <w:jc w:val="both"/>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cs="Times New Roman"/>
          <w:color w:val="auto"/>
          <w:sz w:val="32"/>
          <w:szCs w:val="32"/>
          <w:lang w:val="en-US" w:eastAsia="zh-CN"/>
        </w:rPr>
        <w:t>1.</w:t>
      </w:r>
      <w:r>
        <w:rPr>
          <w:rFonts w:hint="eastAsia" w:ascii="Times New Roman" w:hAnsi="Times New Roman" w:eastAsia="仿宋_GB2312" w:cs="Times New Roman"/>
          <w:color w:val="auto"/>
          <w:sz w:val="32"/>
          <w:szCs w:val="32"/>
          <w:lang w:val="en-US" w:eastAsia="zh-CN"/>
        </w:rPr>
        <w:t>规范重点领域政府诚信行为。深化“庄河市大数据共享分析服务系统”推广应用，为全市100家单位创建业务账号，归集97个部门、456类、6.2亿条数据，建立45个监督模型，实现民政、退役军人领域13项事前服务功能。持续开展清理影响振兴发展做法工作，围绕政策措施、行政审批等10大领域20项重点清理情形，全面查找、清理制约和影响市场活力做法，目前共收集整改问题线索227条，形成制度性成果25项。</w:t>
      </w:r>
    </w:p>
    <w:p w14:paraId="00235671">
      <w:pPr>
        <w:keepNext w:val="0"/>
        <w:keepLines w:val="0"/>
        <w:pageBreakBefore w:val="0"/>
        <w:widowControl w:val="0"/>
        <w:kinsoku/>
        <w:wordWrap/>
        <w:overflowPunct/>
        <w:topLinePunct w:val="0"/>
        <w:autoSpaceDE/>
        <w:autoSpaceDN/>
        <w:bidi w:val="0"/>
        <w:adjustRightInd/>
        <w:snapToGrid/>
        <w:spacing w:line="620" w:lineRule="exact"/>
        <w:ind w:firstLine="632" w:firstLineChars="200"/>
        <w:jc w:val="both"/>
        <w:textAlignment w:val="auto"/>
        <w:rPr>
          <w:rFonts w:hint="eastAsia"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val="en-US" w:eastAsia="zh-CN"/>
        </w:rPr>
        <w:t>2.全面开展营商环境问题“大起底、大排查”。制定《庄河市营商环境问题“大起底、大排查”工作方案》（庄委办字〔2024〕20号），组织召开庄河市优化营商环境工作推进会，系统谋划、全面查找并切实解决影响我市营商环境质量提升的痛点、堵点和难点问题，现已梳理排查问题44项，已整改</w:t>
      </w:r>
      <w:r>
        <w:rPr>
          <w:rFonts w:hint="eastAsia" w:ascii="Times New Roman" w:hAnsi="Times New Roman" w:cs="Times New Roman"/>
          <w:color w:val="auto"/>
          <w:sz w:val="32"/>
          <w:szCs w:val="32"/>
          <w:lang w:val="en-US" w:eastAsia="zh-CN"/>
        </w:rPr>
        <w:t>29</w:t>
      </w:r>
      <w:r>
        <w:rPr>
          <w:rFonts w:hint="eastAsia" w:ascii="Times New Roman" w:hAnsi="Times New Roman" w:eastAsia="仿宋_GB2312" w:cs="Times New Roman"/>
          <w:color w:val="auto"/>
          <w:sz w:val="32"/>
          <w:szCs w:val="32"/>
          <w:lang w:val="en-US" w:eastAsia="zh-CN"/>
        </w:rPr>
        <w:t>项，其余问题正在推进整改中。完成政务服务“综合窗口”改革，全市政务服务中心（分中心）窗口数量减少30%，122项便民服务事项在便民服务中心（站）实现“一站式”办理。</w:t>
      </w:r>
    </w:p>
    <w:p w14:paraId="2213DA35">
      <w:pPr>
        <w:keepNext w:val="0"/>
        <w:keepLines w:val="0"/>
        <w:pageBreakBefore w:val="0"/>
        <w:numPr>
          <w:ilvl w:val="0"/>
          <w:numId w:val="0"/>
        </w:numPr>
        <w:kinsoku/>
        <w:wordWrap/>
        <w:overflowPunct/>
        <w:topLinePunct w:val="0"/>
        <w:autoSpaceDE/>
        <w:autoSpaceDN/>
        <w:bidi w:val="0"/>
        <w:adjustRightInd/>
        <w:snapToGrid/>
        <w:spacing w:line="620" w:lineRule="exact"/>
        <w:ind w:firstLine="632" w:firstLineChars="200"/>
        <w:textAlignment w:val="auto"/>
        <w:rPr>
          <w:rFonts w:hint="eastAsia"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val="en-US" w:eastAsia="zh-CN"/>
        </w:rPr>
        <w:t>3.推进基层社会治理。按照省、大连市部署调度，全面梳理乡镇（街道）的法定职责和赋予的权力，将适宜由基层管理和服务的权限依法依规下放至乡镇（街道），减少行政层级，提高行政效率。细化完善并动态调整乡镇（街道）公共服务事项清单，梳理形成《便民服务事项目录》，122项便民服务事项进驻便民服务中心（站）实现“一站式”办理。</w:t>
      </w:r>
    </w:p>
    <w:p w14:paraId="5F889261">
      <w:pPr>
        <w:keepNext w:val="0"/>
        <w:keepLines w:val="0"/>
        <w:pageBreakBefore w:val="0"/>
        <w:widowControl w:val="0"/>
        <w:kinsoku/>
        <w:wordWrap/>
        <w:overflowPunct/>
        <w:topLinePunct w:val="0"/>
        <w:autoSpaceDE/>
        <w:autoSpaceDN/>
        <w:bidi w:val="0"/>
        <w:adjustRightInd/>
        <w:snapToGrid/>
        <w:spacing w:line="620" w:lineRule="exact"/>
        <w:ind w:firstLine="632" w:firstLineChars="200"/>
        <w:jc w:val="both"/>
        <w:textAlignment w:val="auto"/>
        <w:rPr>
          <w:rFonts w:hint="eastAsia"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val="en-US" w:eastAsia="zh-CN"/>
        </w:rPr>
        <w:t>4.积极开展法治宣传。</w:t>
      </w:r>
      <w:r>
        <w:rPr>
          <w:rFonts w:hint="eastAsia" w:ascii="Times New Roman" w:hAnsi="Times New Roman" w:cs="Times New Roman"/>
          <w:color w:val="auto"/>
          <w:sz w:val="32"/>
          <w:szCs w:val="32"/>
          <w:lang w:val="en-US" w:eastAsia="zh-CN"/>
        </w:rPr>
        <w:t>依托“</w:t>
      </w:r>
      <w:r>
        <w:rPr>
          <w:rFonts w:hint="eastAsia" w:ascii="Times New Roman" w:hAnsi="Times New Roman" w:eastAsia="仿宋_GB2312" w:cs="Times New Roman"/>
          <w:color w:val="auto"/>
          <w:sz w:val="32"/>
          <w:szCs w:val="32"/>
          <w:lang w:val="en-US" w:eastAsia="zh-CN"/>
        </w:rPr>
        <w:t>5·15</w:t>
      </w:r>
      <w:r>
        <w:rPr>
          <w:rFonts w:hint="eastAsia" w:ascii="Times New Roman" w:hAnsi="Times New Roman" w:cs="Times New Roman"/>
          <w:color w:val="auto"/>
          <w:sz w:val="32"/>
          <w:szCs w:val="32"/>
          <w:lang w:val="en-US" w:eastAsia="zh-CN"/>
        </w:rPr>
        <w:t>”</w:t>
      </w:r>
      <w:r>
        <w:rPr>
          <w:rFonts w:hint="eastAsia" w:ascii="Times New Roman" w:hAnsi="Times New Roman" w:eastAsia="仿宋_GB2312" w:cs="Times New Roman"/>
          <w:color w:val="auto"/>
          <w:sz w:val="32"/>
          <w:szCs w:val="32"/>
          <w:lang w:val="en-US" w:eastAsia="zh-CN"/>
        </w:rPr>
        <w:t>政务公开日，围绕推进新时代政务公开，提升政策服务质效，助力攻坚之年攻坚之战主题，在明珠湖广场开展集中政策宣传，通过现场发放宣传资料等形式开展政务服务、营商环境等领域宣传，以图解形式解读《优化营商环境条例》</w:t>
      </w:r>
      <w:r>
        <w:rPr>
          <w:rFonts w:hint="eastAsia" w:ascii="Times New Roman" w:hAnsi="Times New Roman" w:cs="Times New Roman"/>
          <w:color w:val="auto"/>
          <w:sz w:val="32"/>
          <w:szCs w:val="32"/>
          <w:lang w:val="en-US" w:eastAsia="zh-CN"/>
        </w:rPr>
        <w:t>，</w:t>
      </w:r>
      <w:r>
        <w:rPr>
          <w:rFonts w:hint="eastAsia" w:ascii="Times New Roman" w:hAnsi="Times New Roman" w:eastAsia="仿宋_GB2312" w:cs="Times New Roman"/>
          <w:color w:val="auto"/>
          <w:sz w:val="32"/>
          <w:szCs w:val="32"/>
          <w:lang w:val="en-US" w:eastAsia="zh-CN"/>
        </w:rPr>
        <w:t>展示政务服务工作机制要求。政民互动，服务至上，圆满完成12345热线直播。7月20日上午，在大连新闻传媒集团广播FM103.3大连新闻综合广播和FM97.0庄河人民广播电台并机直播《12345政务服务便民热线》节目中，围绕庄河市物业管理、行政执法、设施农业、农村硬化路建设、文化旅游和医疗卫生服务等相关话题与听众朋友们就相关规定进行了互动交流。</w:t>
      </w:r>
    </w:p>
    <w:p w14:paraId="432A51AE">
      <w:pPr>
        <w:keepNext w:val="0"/>
        <w:keepLines w:val="0"/>
        <w:pageBreakBefore w:val="0"/>
        <w:widowControl w:val="0"/>
        <w:kinsoku/>
        <w:wordWrap/>
        <w:overflowPunct/>
        <w:topLinePunct w:val="0"/>
        <w:autoSpaceDE/>
        <w:autoSpaceDN/>
        <w:bidi w:val="0"/>
        <w:adjustRightInd/>
        <w:snapToGrid/>
        <w:spacing w:line="620" w:lineRule="exact"/>
        <w:ind w:firstLine="632" w:firstLineChars="200"/>
        <w:jc w:val="both"/>
        <w:textAlignment w:val="auto"/>
        <w:rPr>
          <w:rFonts w:hint="eastAsia"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val="en-US" w:eastAsia="zh-CN"/>
        </w:rPr>
        <w:t>5.充分发挥“庄河营商”微信公众号的宣传主阵地作用，发布全市优化营商环境和数据建设的具体措施、先进典型、工作动态、建设成果等内容，今年以来共发布各类宣传稿件120篇，关注量11171人，点击阅读量达22742人次。加强市民诉求办理工作，开展舆情预警监测，对平台收到的热点敏感、舆情倾向等问题下发预警提醒单39份，防止舆情发酵。2024年全市12345热线平台共受理企业和群众有效诉求21551件，办结率99.30%、有效诉求满意率87.61%，按时反馈率99.93%，有效回访率98.86%。</w:t>
      </w:r>
    </w:p>
    <w:p w14:paraId="23629D98">
      <w:pPr>
        <w:keepNext w:val="0"/>
        <w:keepLines w:val="0"/>
        <w:pageBreakBefore w:val="0"/>
        <w:widowControl w:val="0"/>
        <w:kinsoku/>
        <w:wordWrap/>
        <w:overflowPunct/>
        <w:topLinePunct w:val="0"/>
        <w:autoSpaceDE/>
        <w:autoSpaceDN/>
        <w:bidi w:val="0"/>
        <w:adjustRightInd/>
        <w:snapToGrid/>
        <w:spacing w:line="620" w:lineRule="exact"/>
        <w:ind w:firstLine="632" w:firstLineChars="200"/>
        <w:jc w:val="both"/>
        <w:textAlignment w:val="auto"/>
        <w:rPr>
          <w:rFonts w:hint="eastAsia" w:ascii="楷体_GB2312" w:hAnsi="楷体_GB2312" w:eastAsia="楷体_GB2312" w:cs="楷体_GB2312"/>
          <w:color w:val="auto"/>
          <w:sz w:val="32"/>
          <w:szCs w:val="32"/>
          <w:lang w:val="en-US" w:eastAsia="zh-CN"/>
        </w:rPr>
      </w:pPr>
      <w:r>
        <w:rPr>
          <w:rFonts w:hint="eastAsia" w:ascii="楷体_GB2312" w:hAnsi="楷体_GB2312" w:eastAsia="楷体_GB2312" w:cs="楷体_GB2312"/>
          <w:color w:val="auto"/>
          <w:sz w:val="32"/>
          <w:szCs w:val="32"/>
          <w:lang w:val="en-US" w:eastAsia="zh-CN"/>
        </w:rPr>
        <w:t>（三）积极完善法治政府建设制度机制</w:t>
      </w:r>
    </w:p>
    <w:p w14:paraId="106CD1A9">
      <w:pPr>
        <w:keepNext w:val="0"/>
        <w:keepLines w:val="0"/>
        <w:pageBreakBefore w:val="0"/>
        <w:widowControl w:val="0"/>
        <w:kinsoku/>
        <w:wordWrap/>
        <w:overflowPunct/>
        <w:topLinePunct w:val="0"/>
        <w:autoSpaceDE/>
        <w:autoSpaceDN/>
        <w:bidi w:val="0"/>
        <w:adjustRightInd/>
        <w:snapToGrid/>
        <w:spacing w:line="620" w:lineRule="exact"/>
        <w:ind w:firstLine="632" w:firstLineChars="200"/>
        <w:jc w:val="both"/>
        <w:textAlignment w:val="auto"/>
        <w:rPr>
          <w:rFonts w:hint="eastAsia"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val="en-US" w:eastAsia="zh-CN"/>
        </w:rPr>
        <w:t>统筹谋划法治政府建设工作。将法治政府建设工作纳入全局年度工作计划，与其他重点工作同部署、同落实，及时研究解决法治政府建设重大问题，为推进法治政府建设工作提供保障。优化法治化营商环境，发挥惠企服务的保障作用，以优质法治资源保障经济社会发展。</w:t>
      </w:r>
    </w:p>
    <w:p w14:paraId="6306BA1A">
      <w:pPr>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632" w:firstLineChars="200"/>
        <w:jc w:val="both"/>
        <w:textAlignment w:val="auto"/>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二、党政主要责任人履行推进法治建设第一责任人职责，加强法治政府建设的有关情况</w:t>
      </w:r>
    </w:p>
    <w:p w14:paraId="1D960EA7">
      <w:pPr>
        <w:keepNext w:val="0"/>
        <w:keepLines w:val="0"/>
        <w:pageBreakBefore w:val="0"/>
        <w:widowControl w:val="0"/>
        <w:kinsoku/>
        <w:wordWrap/>
        <w:overflowPunct/>
        <w:topLinePunct w:val="0"/>
        <w:autoSpaceDE/>
        <w:autoSpaceDN/>
        <w:bidi w:val="0"/>
        <w:adjustRightInd/>
        <w:snapToGrid/>
        <w:spacing w:line="620" w:lineRule="exact"/>
        <w:ind w:left="0" w:firstLine="640"/>
        <w:jc w:val="both"/>
        <w:textAlignment w:val="auto"/>
        <w:rPr>
          <w:rFonts w:hint="eastAsia" w:ascii="Times New Roman" w:hAnsi="Times New Roman" w:eastAsia="仿宋_GB2312" w:cs="Times New Roman"/>
          <w:color w:val="auto"/>
          <w:sz w:val="32"/>
          <w:szCs w:val="32"/>
          <w:lang w:val="en-US" w:eastAsia="zh-CN"/>
        </w:rPr>
      </w:pPr>
      <w:r>
        <w:rPr>
          <w:rFonts w:hint="eastAsia" w:ascii="楷体_GB2312" w:hAnsi="楷体_GB2312" w:eastAsia="楷体_GB2312" w:cs="楷体_GB2312"/>
          <w:color w:val="auto"/>
          <w:sz w:val="32"/>
          <w:szCs w:val="32"/>
          <w:lang w:val="en-US" w:eastAsia="zh-CN"/>
        </w:rPr>
        <w:t>（一）注重理论先行。</w:t>
      </w:r>
      <w:r>
        <w:rPr>
          <w:rFonts w:hint="eastAsia" w:ascii="Times New Roman" w:hAnsi="Times New Roman" w:eastAsia="仿宋_GB2312" w:cs="Times New Roman"/>
          <w:color w:val="auto"/>
          <w:sz w:val="32"/>
          <w:szCs w:val="32"/>
          <w:lang w:val="en-US" w:eastAsia="zh-CN"/>
        </w:rPr>
        <w:t>认真履行法治建设第一责任人职责，将习近平法治思想学习纳入局党组理论学习中心组学习重要内容，带头尊法学法守法用法。组织全局开展党的二十</w:t>
      </w:r>
      <w:r>
        <w:rPr>
          <w:rFonts w:hint="eastAsia" w:ascii="Times New Roman" w:hAnsi="Times New Roman" w:cs="Times New Roman"/>
          <w:color w:val="auto"/>
          <w:sz w:val="32"/>
          <w:szCs w:val="32"/>
          <w:lang w:val="en-US" w:eastAsia="zh-CN"/>
        </w:rPr>
        <w:t>届三中全会会议</w:t>
      </w:r>
      <w:r>
        <w:rPr>
          <w:rFonts w:hint="eastAsia" w:ascii="Times New Roman" w:hAnsi="Times New Roman" w:eastAsia="仿宋_GB2312" w:cs="Times New Roman"/>
          <w:color w:val="auto"/>
          <w:sz w:val="32"/>
          <w:szCs w:val="32"/>
          <w:lang w:val="en-US" w:eastAsia="zh-CN"/>
        </w:rPr>
        <w:t>精神专题学习，带头宣讲党的</w:t>
      </w:r>
      <w:r>
        <w:rPr>
          <w:rFonts w:hint="eastAsia" w:ascii="Times New Roman" w:hAnsi="Times New Roman" w:cs="Times New Roman"/>
          <w:color w:val="auto"/>
          <w:sz w:val="32"/>
          <w:szCs w:val="32"/>
          <w:lang w:val="en-US" w:eastAsia="zh-CN"/>
        </w:rPr>
        <w:t>方针、路线和政策</w:t>
      </w:r>
      <w:r>
        <w:rPr>
          <w:rFonts w:hint="eastAsia" w:ascii="Times New Roman" w:hAnsi="Times New Roman" w:eastAsia="仿宋_GB2312" w:cs="Times New Roman"/>
          <w:color w:val="auto"/>
          <w:sz w:val="32"/>
          <w:szCs w:val="32"/>
          <w:lang w:val="en-US" w:eastAsia="zh-CN"/>
        </w:rPr>
        <w:t>，</w:t>
      </w:r>
      <w:r>
        <w:rPr>
          <w:rFonts w:hint="eastAsia" w:ascii="Times New Roman" w:hAnsi="Times New Roman" w:cs="Times New Roman"/>
          <w:color w:val="auto"/>
          <w:sz w:val="32"/>
          <w:szCs w:val="32"/>
          <w:lang w:val="en-US" w:eastAsia="zh-CN"/>
        </w:rPr>
        <w:t>深入</w:t>
      </w:r>
      <w:r>
        <w:rPr>
          <w:rFonts w:hint="eastAsia" w:ascii="Times New Roman" w:hAnsi="Times New Roman" w:eastAsia="仿宋_GB2312" w:cs="Times New Roman"/>
          <w:color w:val="auto"/>
          <w:sz w:val="32"/>
          <w:szCs w:val="32"/>
          <w:lang w:val="en-US" w:eastAsia="zh-CN"/>
        </w:rPr>
        <w:t>阐述全面依法治国精神实质。</w:t>
      </w:r>
    </w:p>
    <w:p w14:paraId="7A291BF2">
      <w:pPr>
        <w:keepNext w:val="0"/>
        <w:keepLines w:val="0"/>
        <w:pageBreakBefore w:val="0"/>
        <w:widowControl w:val="0"/>
        <w:kinsoku/>
        <w:wordWrap/>
        <w:overflowPunct/>
        <w:topLinePunct w:val="0"/>
        <w:autoSpaceDE/>
        <w:autoSpaceDN/>
        <w:bidi w:val="0"/>
        <w:adjustRightInd/>
        <w:snapToGrid/>
        <w:spacing w:line="620" w:lineRule="exact"/>
        <w:ind w:left="0" w:firstLine="640"/>
        <w:jc w:val="both"/>
        <w:textAlignment w:val="auto"/>
        <w:rPr>
          <w:rFonts w:hint="eastAsia" w:ascii="Times New Roman" w:hAnsi="Times New Roman" w:eastAsia="仿宋_GB2312" w:cs="Times New Roman"/>
          <w:color w:val="auto"/>
          <w:sz w:val="32"/>
          <w:szCs w:val="32"/>
          <w:lang w:val="en-US" w:eastAsia="zh-CN"/>
        </w:rPr>
      </w:pPr>
      <w:r>
        <w:rPr>
          <w:rFonts w:hint="eastAsia" w:ascii="楷体_GB2312" w:hAnsi="楷体_GB2312" w:eastAsia="楷体_GB2312" w:cs="楷体_GB2312"/>
          <w:color w:val="auto"/>
          <w:sz w:val="32"/>
          <w:szCs w:val="32"/>
          <w:lang w:val="en-US" w:eastAsia="zh-CN"/>
        </w:rPr>
        <w:t>（二）加强依法行政。</w:t>
      </w:r>
      <w:r>
        <w:rPr>
          <w:rFonts w:hint="eastAsia" w:ascii="Times New Roman" w:hAnsi="Times New Roman" w:cs="Times New Roman"/>
          <w:color w:val="auto"/>
          <w:sz w:val="32"/>
          <w:szCs w:val="32"/>
          <w:lang w:val="en-US" w:eastAsia="zh-CN"/>
        </w:rPr>
        <w:t>顺利完成机构改革任务，</w:t>
      </w:r>
      <w:r>
        <w:rPr>
          <w:rFonts w:hint="eastAsia" w:ascii="Times New Roman" w:hAnsi="Times New Roman" w:eastAsia="仿宋_GB2312" w:cs="Times New Roman"/>
          <w:color w:val="auto"/>
          <w:sz w:val="32"/>
          <w:szCs w:val="32"/>
          <w:lang w:val="en-US" w:eastAsia="zh-CN"/>
        </w:rPr>
        <w:t>立足</w:t>
      </w:r>
      <w:r>
        <w:rPr>
          <w:rFonts w:hint="eastAsia" w:ascii="Times New Roman" w:hAnsi="Times New Roman" w:cs="Times New Roman"/>
          <w:color w:val="auto"/>
          <w:sz w:val="32"/>
          <w:szCs w:val="32"/>
          <w:lang w:val="en-US" w:eastAsia="zh-CN"/>
        </w:rPr>
        <w:t>市数据局（市营商局）优化</w:t>
      </w:r>
      <w:r>
        <w:rPr>
          <w:rFonts w:hint="eastAsia" w:ascii="Times New Roman" w:hAnsi="Times New Roman" w:eastAsia="仿宋_GB2312" w:cs="Times New Roman"/>
          <w:color w:val="auto"/>
          <w:sz w:val="32"/>
          <w:szCs w:val="32"/>
          <w:lang w:val="en-US" w:eastAsia="zh-CN"/>
        </w:rPr>
        <w:t>营商环境建设本职工作，强化全局工作统筹协调，理顺体制机制，推动职能优化，促进人岗相适。严格依法依规实施决策。按程序执行重大行政决策法定程序，加大法律顾问参与力度，推动提升决策水平。</w:t>
      </w:r>
    </w:p>
    <w:p w14:paraId="5E8C7942">
      <w:pPr>
        <w:keepNext w:val="0"/>
        <w:keepLines w:val="0"/>
        <w:pageBreakBefore w:val="0"/>
        <w:widowControl w:val="0"/>
        <w:kinsoku/>
        <w:wordWrap/>
        <w:overflowPunct/>
        <w:topLinePunct w:val="0"/>
        <w:autoSpaceDE/>
        <w:autoSpaceDN/>
        <w:bidi w:val="0"/>
        <w:adjustRightInd/>
        <w:snapToGrid/>
        <w:spacing w:line="620" w:lineRule="exact"/>
        <w:ind w:left="0" w:firstLine="640"/>
        <w:jc w:val="both"/>
        <w:textAlignment w:val="auto"/>
        <w:rPr>
          <w:rFonts w:hint="eastAsia" w:ascii="Times New Roman" w:hAnsi="Times New Roman" w:eastAsia="仿宋_GB2312" w:cs="Times New Roman"/>
          <w:color w:val="auto"/>
          <w:sz w:val="32"/>
          <w:szCs w:val="32"/>
          <w:lang w:val="en-US" w:eastAsia="zh-CN"/>
        </w:rPr>
      </w:pPr>
      <w:r>
        <w:rPr>
          <w:rFonts w:hint="eastAsia" w:ascii="楷体_GB2312" w:hAnsi="楷体_GB2312" w:eastAsia="楷体_GB2312" w:cs="楷体_GB2312"/>
          <w:color w:val="auto"/>
          <w:sz w:val="32"/>
          <w:szCs w:val="32"/>
          <w:lang w:val="en-US" w:eastAsia="zh-CN"/>
        </w:rPr>
        <w:t>（三）积极教育宣传。</w:t>
      </w:r>
      <w:r>
        <w:rPr>
          <w:rFonts w:hint="eastAsia" w:ascii="Times New Roman" w:hAnsi="Times New Roman" w:eastAsia="仿宋_GB2312" w:cs="Times New Roman"/>
          <w:color w:val="auto"/>
          <w:sz w:val="32"/>
          <w:szCs w:val="32"/>
          <w:lang w:val="en-US" w:eastAsia="zh-CN"/>
        </w:rPr>
        <w:t>强化普法责任制落实，结合12345热线平台工作，积极宣传应用大连市法律法规汇编，提升机关干部法治思维和能力。加大依法行政工作公开宣传力度，依托“庄河营商”公众号，宣传推广惠企政策、营商环境建设信息，推动权力依法依规阳光运行。</w:t>
      </w:r>
    </w:p>
    <w:p w14:paraId="37A8969B">
      <w:pPr>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632" w:firstLineChars="200"/>
        <w:jc w:val="both"/>
        <w:textAlignment w:val="auto"/>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三、存在的问题和不足</w:t>
      </w:r>
    </w:p>
    <w:p w14:paraId="5F22F081">
      <w:pPr>
        <w:keepNext w:val="0"/>
        <w:keepLines w:val="0"/>
        <w:pageBreakBefore w:val="0"/>
        <w:widowControl w:val="0"/>
        <w:kinsoku/>
        <w:wordWrap/>
        <w:overflowPunct/>
        <w:topLinePunct w:val="0"/>
        <w:autoSpaceDE/>
        <w:autoSpaceDN/>
        <w:bidi w:val="0"/>
        <w:adjustRightInd/>
        <w:snapToGrid/>
        <w:spacing w:line="620" w:lineRule="exact"/>
        <w:ind w:firstLine="632" w:firstLineChars="200"/>
        <w:jc w:val="both"/>
        <w:textAlignment w:val="auto"/>
        <w:rPr>
          <w:rFonts w:hint="eastAsia"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val="en-US" w:eastAsia="zh-CN"/>
        </w:rPr>
        <w:t>2024年法治建设工作虽然取得了一定成绩，但与全面推进依法行政、建设法治政府的目标相比，还存在一定差距。主要表现为以下几个方面：一是法治意识不足。运用法治思维和法治方式解决问题、推动发展的能力有待进一步加强。二是法治宣传有待加强。法治宣传方式较为传统、单调，宣传渠道较窄</w:t>
      </w:r>
      <w:r>
        <w:rPr>
          <w:rFonts w:hint="eastAsia" w:ascii="Times New Roman" w:hAnsi="Times New Roman" w:cs="Times New Roman"/>
          <w:color w:val="auto"/>
          <w:sz w:val="32"/>
          <w:szCs w:val="32"/>
          <w:lang w:val="en-US" w:eastAsia="zh-CN"/>
        </w:rPr>
        <w:t>。三是</w:t>
      </w:r>
      <w:r>
        <w:rPr>
          <w:rFonts w:hint="eastAsia" w:ascii="Times New Roman" w:hAnsi="Times New Roman" w:eastAsia="仿宋_GB2312" w:cs="Times New Roman"/>
          <w:color w:val="auto"/>
          <w:sz w:val="32"/>
          <w:szCs w:val="32"/>
          <w:lang w:val="en-US" w:eastAsia="zh-CN"/>
        </w:rPr>
        <w:t>法治学习的系统性不够。</w:t>
      </w:r>
    </w:p>
    <w:p w14:paraId="3B1BF2BD">
      <w:pPr>
        <w:keepNext w:val="0"/>
        <w:keepLines w:val="0"/>
        <w:pageBreakBefore w:val="0"/>
        <w:widowControl w:val="0"/>
        <w:kinsoku/>
        <w:wordWrap/>
        <w:overflowPunct/>
        <w:topLinePunct w:val="0"/>
        <w:autoSpaceDE/>
        <w:autoSpaceDN/>
        <w:bidi w:val="0"/>
        <w:adjustRightInd/>
        <w:snapToGrid/>
        <w:spacing w:line="620" w:lineRule="exact"/>
        <w:ind w:firstLine="632" w:firstLineChars="200"/>
        <w:jc w:val="both"/>
        <w:textAlignment w:val="auto"/>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四、下一步工作安排</w:t>
      </w:r>
    </w:p>
    <w:p w14:paraId="217532A6">
      <w:pPr>
        <w:keepNext w:val="0"/>
        <w:keepLines w:val="0"/>
        <w:pageBreakBefore w:val="0"/>
        <w:widowControl w:val="0"/>
        <w:kinsoku/>
        <w:wordWrap/>
        <w:overflowPunct/>
        <w:topLinePunct w:val="0"/>
        <w:autoSpaceDE/>
        <w:autoSpaceDN/>
        <w:bidi w:val="0"/>
        <w:adjustRightInd/>
        <w:snapToGrid/>
        <w:spacing w:line="620" w:lineRule="exact"/>
        <w:ind w:firstLine="632" w:firstLineChars="200"/>
        <w:jc w:val="both"/>
        <w:textAlignment w:val="auto"/>
        <w:rPr>
          <w:rFonts w:hint="eastAsia"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val="en-US" w:eastAsia="zh-CN"/>
        </w:rPr>
        <w:t>一是着力提升领导干部法治思维。推进政府科学民主依法决策，严格履行重大决策公众参与、专家论证、风险评估、合法性审查、集体讨论法定程序，牢固树立起法律至上观念，在发展经济社会事务、协调处理矛盾纠纷时，善于运用法律手段解决问题，树立法治政府的良好形象。</w:t>
      </w:r>
    </w:p>
    <w:p w14:paraId="542955F2">
      <w:pPr>
        <w:keepNext w:val="0"/>
        <w:keepLines w:val="0"/>
        <w:pageBreakBefore w:val="0"/>
        <w:widowControl w:val="0"/>
        <w:kinsoku/>
        <w:wordWrap/>
        <w:overflowPunct/>
        <w:topLinePunct w:val="0"/>
        <w:autoSpaceDE/>
        <w:autoSpaceDN/>
        <w:bidi w:val="0"/>
        <w:adjustRightInd/>
        <w:snapToGrid/>
        <w:spacing w:line="620" w:lineRule="exact"/>
        <w:ind w:firstLine="632" w:firstLineChars="200"/>
        <w:jc w:val="both"/>
        <w:textAlignment w:val="auto"/>
        <w:rPr>
          <w:rFonts w:hint="eastAsia"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val="en-US" w:eastAsia="zh-CN"/>
        </w:rPr>
        <w:t>二是</w:t>
      </w:r>
      <w:r>
        <w:rPr>
          <w:rFonts w:hint="eastAsia" w:ascii="Times New Roman" w:hAnsi="Times New Roman" w:cs="Times New Roman"/>
          <w:color w:val="auto"/>
          <w:sz w:val="32"/>
          <w:szCs w:val="32"/>
          <w:lang w:val="en-US" w:eastAsia="zh-CN"/>
        </w:rPr>
        <w:t>着力</w:t>
      </w:r>
      <w:r>
        <w:rPr>
          <w:rFonts w:hint="eastAsia" w:ascii="Times New Roman" w:hAnsi="Times New Roman" w:eastAsia="仿宋_GB2312" w:cs="Times New Roman"/>
          <w:color w:val="auto"/>
          <w:sz w:val="32"/>
          <w:szCs w:val="32"/>
          <w:lang w:val="en-US" w:eastAsia="zh-CN"/>
        </w:rPr>
        <w:t>营造办事方便、积极主动的政务环境</w:t>
      </w:r>
      <w:r>
        <w:rPr>
          <w:rFonts w:hint="eastAsia" w:ascii="Times New Roman" w:hAnsi="Times New Roman" w:cs="Times New Roman"/>
          <w:color w:val="auto"/>
          <w:sz w:val="32"/>
          <w:szCs w:val="32"/>
          <w:lang w:val="en-US" w:eastAsia="zh-CN"/>
        </w:rPr>
        <w:t>。</w:t>
      </w:r>
      <w:r>
        <w:rPr>
          <w:rFonts w:hint="eastAsia" w:ascii="Times New Roman" w:hAnsi="Times New Roman" w:eastAsia="仿宋_GB2312" w:cs="Times New Roman"/>
          <w:color w:val="auto"/>
          <w:sz w:val="32"/>
          <w:szCs w:val="32"/>
          <w:lang w:val="en-US" w:eastAsia="zh-CN"/>
        </w:rPr>
        <w:t>提升行政服务质效，大力推行“一网通办”，不断深化“一件事一次办”，持续巩固“办事不找人”，全面开展“主动上门办”，持续提升诉求办理质效。继续构建双向奔赴、亲清和谐的政商关系，深入实施“双进双促”“亲清下午茶 政商话振兴”等活动，当好“服务秘书”和“店小二”，及时落实惠企政策，畅通政企沟通渠道，提升市场主体在庄河投资兴业的体验感和满意度。</w:t>
      </w:r>
    </w:p>
    <w:p w14:paraId="5D40DAB2">
      <w:pPr>
        <w:keepNext w:val="0"/>
        <w:keepLines w:val="0"/>
        <w:pageBreakBefore w:val="0"/>
        <w:widowControl w:val="0"/>
        <w:kinsoku/>
        <w:wordWrap/>
        <w:overflowPunct/>
        <w:topLinePunct w:val="0"/>
        <w:autoSpaceDE/>
        <w:autoSpaceDN/>
        <w:bidi w:val="0"/>
        <w:adjustRightInd/>
        <w:snapToGrid/>
        <w:spacing w:line="620" w:lineRule="exact"/>
        <w:ind w:firstLine="632" w:firstLineChars="200"/>
        <w:jc w:val="both"/>
        <w:textAlignment w:val="auto"/>
        <w:rPr>
          <w:rFonts w:hint="eastAsia" w:ascii="Times New Roman" w:hAnsi="Times New Roman" w:eastAsia="仿宋_GB2312" w:cs="Times New Roman"/>
          <w:color w:val="auto"/>
          <w:sz w:val="32"/>
          <w:szCs w:val="32"/>
          <w:lang w:val="en-US" w:eastAsia="zh-CN"/>
        </w:rPr>
      </w:pPr>
      <w:r>
        <w:rPr>
          <w:rFonts w:hint="eastAsia" w:ascii="Times New Roman" w:hAnsi="Times New Roman" w:cs="Times New Roman"/>
          <w:color w:val="auto"/>
          <w:sz w:val="32"/>
          <w:szCs w:val="32"/>
          <w:lang w:val="en-US" w:eastAsia="zh-CN"/>
        </w:rPr>
        <w:t>三是</w:t>
      </w:r>
      <w:r>
        <w:rPr>
          <w:rFonts w:hint="eastAsia" w:ascii="Times New Roman" w:hAnsi="Times New Roman" w:eastAsia="仿宋_GB2312" w:cs="Times New Roman"/>
          <w:color w:val="auto"/>
          <w:sz w:val="32"/>
          <w:szCs w:val="32"/>
          <w:lang w:val="en-US" w:eastAsia="zh-CN"/>
        </w:rPr>
        <w:t>着力提升法治宣传学习效能。全面加强依法行政宣传教育，充分利用法制宣传日、宣传周、宣传月等形式多样的普法主题教育，让法治政府建设深入人心。继续组织局机关全体干部深入学习</w:t>
      </w:r>
      <w:r>
        <w:rPr>
          <w:rFonts w:hint="eastAsia" w:ascii="Times New Roman" w:hAnsi="Times New Roman" w:cs="Times New Roman"/>
          <w:color w:val="auto"/>
          <w:sz w:val="32"/>
          <w:szCs w:val="32"/>
          <w:lang w:val="en-US" w:eastAsia="zh-CN"/>
        </w:rPr>
        <w:t>营商环境、数据方面的</w:t>
      </w:r>
      <w:r>
        <w:rPr>
          <w:rFonts w:hint="eastAsia" w:ascii="Times New Roman" w:hAnsi="Times New Roman" w:eastAsia="仿宋_GB2312" w:cs="Times New Roman"/>
          <w:color w:val="auto"/>
          <w:sz w:val="32"/>
          <w:szCs w:val="32"/>
          <w:lang w:val="en-US" w:eastAsia="zh-CN"/>
        </w:rPr>
        <w:t>相关法律法规。加强规范性文件的清理工作，进一步完善政策</w:t>
      </w:r>
      <w:r>
        <w:rPr>
          <w:rFonts w:hint="eastAsia" w:ascii="Times New Roman" w:hAnsi="Times New Roman" w:cs="Times New Roman"/>
          <w:color w:val="auto"/>
          <w:sz w:val="32"/>
          <w:szCs w:val="32"/>
          <w:lang w:val="en-US" w:eastAsia="zh-CN"/>
        </w:rPr>
        <w:t>制度</w:t>
      </w:r>
      <w:r>
        <w:rPr>
          <w:rFonts w:hint="eastAsia" w:ascii="Times New Roman" w:hAnsi="Times New Roman" w:eastAsia="仿宋_GB2312" w:cs="Times New Roman"/>
          <w:color w:val="auto"/>
          <w:sz w:val="32"/>
          <w:szCs w:val="32"/>
          <w:lang w:val="en-US" w:eastAsia="zh-CN"/>
        </w:rPr>
        <w:t>体系。</w:t>
      </w:r>
    </w:p>
    <w:p w14:paraId="274C83A1">
      <w:pPr>
        <w:keepNext w:val="0"/>
        <w:keepLines w:val="0"/>
        <w:pageBreakBefore w:val="0"/>
        <w:widowControl w:val="0"/>
        <w:kinsoku/>
        <w:wordWrap/>
        <w:overflowPunct/>
        <w:topLinePunct w:val="0"/>
        <w:autoSpaceDE/>
        <w:autoSpaceDN/>
        <w:bidi w:val="0"/>
        <w:adjustRightInd/>
        <w:snapToGrid/>
        <w:spacing w:line="620" w:lineRule="exact"/>
        <w:ind w:firstLine="632" w:firstLineChars="200"/>
        <w:jc w:val="both"/>
        <w:textAlignment w:val="auto"/>
        <w:rPr>
          <w:rFonts w:hint="eastAsia" w:ascii="Times New Roman" w:hAnsi="Times New Roman" w:eastAsia="仿宋_GB2312" w:cs="Times New Roman"/>
          <w:color w:val="auto"/>
          <w:sz w:val="32"/>
          <w:szCs w:val="32"/>
          <w:lang w:val="en-US" w:eastAsia="zh-CN"/>
        </w:rPr>
      </w:pPr>
    </w:p>
    <w:p w14:paraId="33C1637F">
      <w:pPr>
        <w:keepNext w:val="0"/>
        <w:keepLines w:val="0"/>
        <w:pageBreakBefore w:val="0"/>
        <w:widowControl w:val="0"/>
        <w:kinsoku/>
        <w:wordWrap/>
        <w:overflowPunct/>
        <w:topLinePunct w:val="0"/>
        <w:autoSpaceDE/>
        <w:autoSpaceDN/>
        <w:bidi w:val="0"/>
        <w:adjustRightInd/>
        <w:snapToGrid/>
        <w:spacing w:line="620" w:lineRule="exact"/>
        <w:ind w:firstLine="632" w:firstLineChars="200"/>
        <w:jc w:val="both"/>
        <w:textAlignment w:val="auto"/>
        <w:rPr>
          <w:rFonts w:hint="eastAsia" w:ascii="Times New Roman" w:hAnsi="Times New Roman" w:eastAsia="仿宋_GB2312" w:cs="Times New Roman"/>
          <w:color w:val="auto"/>
          <w:sz w:val="32"/>
          <w:szCs w:val="32"/>
          <w:lang w:val="en-US" w:eastAsia="zh-CN"/>
        </w:rPr>
      </w:pPr>
    </w:p>
    <w:p w14:paraId="6FCDC06E">
      <w:pPr>
        <w:keepNext w:val="0"/>
        <w:keepLines w:val="0"/>
        <w:pageBreakBefore w:val="0"/>
        <w:widowControl w:val="0"/>
        <w:kinsoku/>
        <w:wordWrap/>
        <w:overflowPunct/>
        <w:topLinePunct w:val="0"/>
        <w:autoSpaceDE/>
        <w:autoSpaceDN/>
        <w:bidi w:val="0"/>
        <w:adjustRightInd/>
        <w:snapToGrid/>
        <w:spacing w:line="620" w:lineRule="exact"/>
        <w:ind w:firstLine="632" w:firstLineChars="200"/>
        <w:jc w:val="right"/>
        <w:textAlignment w:val="auto"/>
        <w:rPr>
          <w:rFonts w:hint="eastAsia" w:ascii="Times New Roman" w:hAnsi="Times New Roman" w:cs="Times New Roman"/>
          <w:color w:val="auto"/>
          <w:sz w:val="32"/>
          <w:szCs w:val="32"/>
          <w:lang w:val="en-US" w:eastAsia="zh-CN"/>
        </w:rPr>
      </w:pPr>
      <w:r>
        <w:rPr>
          <w:rFonts w:hint="eastAsia" w:ascii="Times New Roman" w:hAnsi="Times New Roman" w:cs="Times New Roman"/>
          <w:color w:val="auto"/>
          <w:sz w:val="32"/>
          <w:szCs w:val="32"/>
          <w:lang w:val="en-US" w:eastAsia="zh-CN"/>
        </w:rPr>
        <w:t>庄河市数据局</w:t>
      </w:r>
    </w:p>
    <w:p w14:paraId="0913F440">
      <w:pPr>
        <w:keepNext w:val="0"/>
        <w:keepLines w:val="0"/>
        <w:pageBreakBefore w:val="0"/>
        <w:widowControl w:val="0"/>
        <w:kinsoku/>
        <w:wordWrap/>
        <w:overflowPunct/>
        <w:topLinePunct w:val="0"/>
        <w:autoSpaceDE/>
        <w:autoSpaceDN/>
        <w:bidi w:val="0"/>
        <w:adjustRightInd/>
        <w:snapToGrid/>
        <w:spacing w:line="620" w:lineRule="exact"/>
        <w:ind w:firstLine="632" w:firstLineChars="200"/>
        <w:jc w:val="right"/>
        <w:textAlignment w:val="auto"/>
        <w:rPr>
          <w:rFonts w:hint="default" w:ascii="Times New Roman" w:hAnsi="Times New Roman" w:cs="Times New Roman"/>
          <w:color w:val="auto"/>
          <w:sz w:val="32"/>
          <w:szCs w:val="32"/>
          <w:lang w:val="en-US" w:eastAsia="zh-CN"/>
        </w:rPr>
      </w:pPr>
      <w:bookmarkStart w:id="0" w:name="_GoBack"/>
      <w:bookmarkEnd w:id="0"/>
      <w:r>
        <w:rPr>
          <w:rFonts w:hint="eastAsia" w:ascii="Times New Roman" w:hAnsi="Times New Roman" w:cs="Times New Roman"/>
          <w:color w:val="auto"/>
          <w:sz w:val="32"/>
          <w:szCs w:val="32"/>
          <w:lang w:val="en-US" w:eastAsia="zh-CN"/>
        </w:rPr>
        <w:t>2025年1月16日</w:t>
      </w:r>
    </w:p>
    <w:sectPr>
      <w:footerReference r:id="rId3" w:type="default"/>
      <w:pgSz w:w="11906" w:h="16838"/>
      <w:pgMar w:top="2098" w:right="1474" w:bottom="1984" w:left="1587" w:header="851" w:footer="1417" w:gutter="0"/>
      <w:cols w:space="0" w:num="1"/>
      <w:rtlGutter w:val="0"/>
      <w:docGrid w:type="linesAndChars" w:linePitch="579" w:charSpace="-84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70FCDF">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AEABBC0">
                          <w:pPr>
                            <w:pStyle w:val="4"/>
                            <w:rPr>
                              <w:rFonts w:hint="default" w:ascii="Times New Roman" w:hAnsi="Times New Roman" w:cs="Times New Roman"/>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w:t>
                          </w:r>
                          <w:r>
                            <w:rPr>
                              <w:rFonts w:hint="default" w:ascii="Times New Roman" w:hAnsi="Times New Roman" w:cs="Times New Roman"/>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AEABBC0">
                    <w:pPr>
                      <w:pStyle w:val="4"/>
                      <w:rPr>
                        <w:rFonts w:hint="default" w:ascii="Times New Roman" w:hAnsi="Times New Roman" w:cs="Times New Roman"/>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w:t>
                    </w:r>
                    <w:r>
                      <w:rPr>
                        <w:rFonts w:hint="default" w:ascii="Times New Roman" w:hAnsi="Times New Roman" w:cs="Times New Roman"/>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documentProtection w:enforcement="0"/>
  <w:defaultTabStop w:val="420"/>
  <w:drawingGridHorizontalSpacing w:val="158"/>
  <w:drawingGridVerticalSpacing w:val="290"/>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13457B5"/>
    <w:rsid w:val="1D811294"/>
    <w:rsid w:val="47584979"/>
    <w:rsid w:val="4A0101BF"/>
    <w:rsid w:val="54E9701A"/>
    <w:rsid w:val="5F0151AD"/>
    <w:rsid w:val="612D41A9"/>
    <w:rsid w:val="631431E7"/>
    <w:rsid w:val="71066E6B"/>
    <w:rsid w:val="72DE0404"/>
    <w:rsid w:val="7EA741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仿宋_GB2312" w:asciiTheme="minorAscii" w:hAnsiTheme="minorAscii" w:cstheme="minorBidi"/>
      <w:kern w:val="2"/>
      <w:sz w:val="32"/>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lock Text"/>
    <w:basedOn w:val="1"/>
    <w:unhideWhenUsed/>
    <w:qFormat/>
    <w:uiPriority w:val="99"/>
    <w:rPr>
      <w:rFonts w:hint="eastAsia"/>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2564</Words>
  <Characters>2682</Characters>
  <Lines>0</Lines>
  <Paragraphs>0</Paragraphs>
  <TotalTime>13</TotalTime>
  <ScaleCrop>false</ScaleCrop>
  <LinksUpToDate>false</LinksUpToDate>
  <CharactersWithSpaces>2683</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2025-01-06T03:13:00Z</dcterms:created>
  <dc:creator>Administrator</dc:creator>
  <cp:lastModifiedBy>gf</cp:lastModifiedBy>
  <dcterms:modified xsi:type="dcterms:W3CDTF">2025-03-28T06:01:06Z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eyJoZGlkIjoiZjJlYTA2ZmUzZDNhMzc0YzE5YWU5YTM1MGY5MWI5N2QifQ==</vt:lpwstr>
  </property>
  <property fmtid="{D5CDD505-2E9C-101B-9397-08002B2CF9AE}" pid="4" name="ICV">
    <vt:lpwstr>2437DAD918494E46985C0EAA640ED089_13</vt:lpwstr>
  </property>
</Properties>
</file>