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0CAFAA">
      <w:pPr>
        <w:keepNext w:val="0"/>
        <w:keepLines w:val="0"/>
        <w:pageBreakBefore w:val="0"/>
        <w:widowControl/>
        <w:kinsoku/>
        <w:wordWrap/>
        <w:overflowPunct/>
        <w:topLinePunct w:val="0"/>
        <w:autoSpaceDE/>
        <w:autoSpaceDN/>
        <w:bidi w:val="0"/>
        <w:adjustRightInd/>
        <w:snapToGrid/>
        <w:spacing w:line="580" w:lineRule="exact"/>
        <w:ind w:left="3534" w:hanging="3534" w:hangingChars="800"/>
        <w:jc w:val="both"/>
        <w:textAlignment w:val="auto"/>
        <w:rPr>
          <w:rFonts w:hint="eastAsia" w:asciiTheme="majorEastAsia" w:hAnsiTheme="majorEastAsia" w:eastAsiaTheme="majorEastAsia" w:cstheme="majorEastAsia"/>
          <w:b/>
          <w:bCs/>
          <w:color w:val="auto"/>
          <w:sz w:val="44"/>
          <w:szCs w:val="44"/>
          <w:lang w:val="en-US" w:eastAsia="zh-CN"/>
        </w:rPr>
      </w:pPr>
      <w:r>
        <w:rPr>
          <w:rFonts w:hint="eastAsia" w:asciiTheme="majorEastAsia" w:hAnsiTheme="majorEastAsia" w:eastAsiaTheme="majorEastAsia" w:cstheme="majorEastAsia"/>
          <w:b/>
          <w:bCs/>
          <w:color w:val="auto"/>
          <w:sz w:val="44"/>
          <w:szCs w:val="44"/>
          <w:lang w:val="en-US" w:eastAsia="zh-CN"/>
        </w:rPr>
        <w:t>庄河市市场监督管理局关于2024年法治</w:t>
      </w:r>
    </w:p>
    <w:p w14:paraId="2029A031">
      <w:pPr>
        <w:keepNext w:val="0"/>
        <w:keepLines w:val="0"/>
        <w:pageBreakBefore w:val="0"/>
        <w:widowControl/>
        <w:kinsoku/>
        <w:wordWrap/>
        <w:overflowPunct/>
        <w:topLinePunct w:val="0"/>
        <w:autoSpaceDE/>
        <w:autoSpaceDN/>
        <w:bidi w:val="0"/>
        <w:adjustRightInd/>
        <w:snapToGrid/>
        <w:spacing w:line="580" w:lineRule="exact"/>
        <w:ind w:left="3529" w:leftChars="839" w:hanging="1767" w:hangingChars="400"/>
        <w:jc w:val="both"/>
        <w:textAlignment w:val="auto"/>
        <w:rPr>
          <w:rFonts w:hint="eastAsia" w:asciiTheme="majorEastAsia" w:hAnsiTheme="majorEastAsia" w:eastAsiaTheme="majorEastAsia" w:cstheme="majorEastAsia"/>
          <w:b/>
          <w:bCs/>
          <w:color w:val="auto"/>
          <w:sz w:val="44"/>
          <w:szCs w:val="44"/>
          <w:lang w:val="en-US" w:eastAsia="zh-CN"/>
        </w:rPr>
      </w:pPr>
      <w:r>
        <w:rPr>
          <w:rFonts w:hint="eastAsia" w:asciiTheme="majorEastAsia" w:hAnsiTheme="majorEastAsia" w:eastAsiaTheme="majorEastAsia" w:cstheme="majorEastAsia"/>
          <w:b/>
          <w:bCs/>
          <w:color w:val="auto"/>
          <w:sz w:val="44"/>
          <w:szCs w:val="44"/>
          <w:lang w:val="en-US" w:eastAsia="zh-CN"/>
        </w:rPr>
        <w:t>政府建设情况的报告</w:t>
      </w:r>
    </w:p>
    <w:p w14:paraId="5AB66ABB">
      <w:pPr>
        <w:jc w:val="both"/>
        <w:rPr>
          <w:rFonts w:hint="default" w:ascii="黑体" w:hAnsi="黑体" w:eastAsia="黑体" w:cs="黑体"/>
          <w:color w:val="auto"/>
          <w:sz w:val="44"/>
          <w:szCs w:val="44"/>
          <w:lang w:val="en-US" w:eastAsia="zh-CN"/>
        </w:rPr>
      </w:pPr>
    </w:p>
    <w:p w14:paraId="653539F8">
      <w:pPr>
        <w:numPr>
          <w:ilvl w:val="0"/>
          <w:numId w:val="0"/>
        </w:numPr>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年，</w:t>
      </w:r>
      <w:r>
        <w:rPr>
          <w:rFonts w:hint="eastAsia" w:ascii="仿宋_GB2312" w:eastAsia="仿宋_GB2312"/>
          <w:color w:val="auto"/>
          <w:sz w:val="32"/>
          <w:szCs w:val="32"/>
          <w:lang w:val="en-US" w:eastAsia="zh-CN"/>
        </w:rPr>
        <w:t>在市委、</w:t>
      </w:r>
      <w:r>
        <w:rPr>
          <w:rFonts w:hint="eastAsia" w:ascii="仿宋_GB2312" w:hAnsi="Times New Roman" w:eastAsia="仿宋_GB2312" w:cs="Times New Roman"/>
          <w:color w:val="auto"/>
          <w:sz w:val="32"/>
          <w:szCs w:val="32"/>
          <w:lang w:val="en-US" w:eastAsia="zh-CN"/>
        </w:rPr>
        <w:t>市政府的正确领导下，</w:t>
      </w:r>
      <w:r>
        <w:rPr>
          <w:rFonts w:hint="eastAsia" w:ascii="仿宋_GB2312" w:hAnsi="仿宋_GB2312" w:eastAsia="仿宋_GB2312" w:cs="仿宋_GB2312"/>
          <w:b w:val="0"/>
          <w:bCs w:val="0"/>
          <w:color w:val="auto"/>
          <w:sz w:val="32"/>
          <w:szCs w:val="32"/>
          <w:lang w:val="en-US" w:eastAsia="zh-CN"/>
        </w:rPr>
        <w:t>庄河市市场监督管理局坚持以习近平新时代中国特色社会主义思想为指导，</w:t>
      </w:r>
      <w:r>
        <w:rPr>
          <w:rFonts w:hint="eastAsia" w:ascii="仿宋_GB2312" w:hAnsi="Times New Roman" w:eastAsia="仿宋_GB2312" w:cs="Times New Roman"/>
          <w:color w:val="auto"/>
          <w:sz w:val="32"/>
          <w:szCs w:val="32"/>
        </w:rPr>
        <w:t>以习近平法治思想</w:t>
      </w:r>
      <w:r>
        <w:rPr>
          <w:rFonts w:hint="eastAsia" w:ascii="仿宋_GB2312" w:hAnsi="Times New Roman" w:eastAsia="仿宋_GB2312" w:cs="Times New Roman"/>
          <w:color w:val="auto"/>
          <w:sz w:val="32"/>
          <w:szCs w:val="32"/>
          <w:lang w:val="en-US" w:eastAsia="zh-CN"/>
        </w:rPr>
        <w:t>为</w:t>
      </w:r>
      <w:r>
        <w:rPr>
          <w:rFonts w:hint="eastAsia" w:ascii="仿宋_GB2312" w:hAnsi="Times New Roman" w:eastAsia="仿宋_GB2312" w:cs="Times New Roman"/>
          <w:color w:val="auto"/>
          <w:sz w:val="32"/>
          <w:szCs w:val="32"/>
        </w:rPr>
        <w:t>行动指南，</w:t>
      </w:r>
      <w:r>
        <w:rPr>
          <w:rFonts w:hint="eastAsia" w:ascii="仿宋_GB2312" w:hAnsi="Times New Roman" w:eastAsia="仿宋_GB2312" w:cs="Times New Roman"/>
          <w:color w:val="auto"/>
          <w:sz w:val="32"/>
          <w:szCs w:val="32"/>
          <w:lang w:val="en-US" w:eastAsia="zh-CN"/>
        </w:rPr>
        <w:t>按照《庄河市2024年推进法治政府建设十项重点任务》和《庄河市贯彻落实&lt;法治政府建设实施纲要(2021—2025年）&gt;重要任务举措分工方案》的要求，积极推进法治政府建设工作</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rPr>
        <w:t>现将</w:t>
      </w:r>
      <w:r>
        <w:rPr>
          <w:rFonts w:hint="eastAsia" w:ascii="仿宋_GB2312" w:hAnsi="Times New Roman" w:eastAsia="仿宋_GB2312" w:cs="Times New Roman"/>
          <w:color w:val="auto"/>
          <w:sz w:val="32"/>
          <w:szCs w:val="32"/>
          <w:lang w:val="en-US" w:eastAsia="zh-CN"/>
        </w:rPr>
        <w:t>具体工作开展情况报告</w:t>
      </w:r>
      <w:r>
        <w:rPr>
          <w:rFonts w:hint="eastAsia" w:ascii="仿宋_GB2312" w:hAnsi="Times New Roman" w:eastAsia="仿宋_GB2312" w:cs="Times New Roman"/>
          <w:color w:val="auto"/>
          <w:sz w:val="32"/>
          <w:szCs w:val="32"/>
        </w:rPr>
        <w:t>如</w:t>
      </w:r>
      <w:r>
        <w:rPr>
          <w:rFonts w:hint="eastAsia" w:ascii="仿宋_GB2312" w:eastAsia="仿宋_GB2312"/>
          <w:color w:val="auto"/>
          <w:sz w:val="32"/>
          <w:szCs w:val="32"/>
        </w:rPr>
        <w:t>下</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 xml:space="preserve"> </w:t>
      </w:r>
      <w:bookmarkStart w:id="0" w:name="_GoBack"/>
      <w:bookmarkEnd w:id="0"/>
    </w:p>
    <w:p w14:paraId="2CAC258A">
      <w:pPr>
        <w:numPr>
          <w:ilvl w:val="0"/>
          <w:numId w:val="0"/>
        </w:numPr>
        <w:ind w:firstLine="640" w:firstLineChars="200"/>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一、2024年推进法治政府建设的主要措施和成效</w:t>
      </w:r>
    </w:p>
    <w:p w14:paraId="36604A48">
      <w:pPr>
        <w:numPr>
          <w:ilvl w:val="0"/>
          <w:numId w:val="0"/>
        </w:numPr>
        <w:ind w:firstLine="640" w:firstLineChars="200"/>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一）深入学习贯彻习近平法治思想。认真学习贯彻习近平总书记关于法治政府建设的重要讲话精神，深入学习领会习近平法治思想，学好用好《习近平法治思想学习纲要》，切实把习近平法治思想贯彻落实到法治政府建设全过程和各方面。2024年共组织开展党组理论学习中心组学习研讨习近平法治思想1次、领导干部在所属支部宣讲习近平法治思想1次、组织参加专题培训班2次，做到坚持用习近平法治思想武装头脑、指导实践、推动工作。</w:t>
      </w:r>
    </w:p>
    <w:p w14:paraId="37A5E72F">
      <w:pPr>
        <w:numPr>
          <w:ilvl w:val="0"/>
          <w:numId w:val="0"/>
        </w:numPr>
        <w:ind w:firstLine="640" w:firstLineChars="200"/>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 xml:space="preserve">（二）全面实行统一的市场准入负面清单制度。推动“非禁即入”普遍落实，进一步落实《市场准入负面清单》全国一张清单管理模式，不断优化审批流程，通过严格执行企业名称自主申报、住所（经营场所）承诺制、经营范围规范化表述等改革制度，同时认真贯彻《市场主体登记文书规范》《市场主体登记提交材料规范》等规范性文件，切实推进市场主体登记标准化、规范化，提升市场主体办事预期，不断优化审批服务，激发市场主体活力。         </w:t>
      </w:r>
    </w:p>
    <w:p w14:paraId="02149791">
      <w:pPr>
        <w:numPr>
          <w:ilvl w:val="0"/>
          <w:numId w:val="0"/>
        </w:numPr>
        <w:ind w:firstLine="640" w:firstLineChars="200"/>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（三）强化事中事后监管。健全以“双随机、一公开”监管和“互联网+监管”为基本手段、以重点监管为补充、以信用监管为基础的新型监管机制，推进线上线下一体化监</w:t>
      </w:r>
      <w:r>
        <w:rPr>
          <w:rFonts w:hint="eastAsia" w:ascii="仿宋_GB2312" w:hAnsi="Times New Roman" w:eastAsia="仿宋_GB2312" w:cs="Times New Roman"/>
          <w:b w:val="0"/>
          <w:bCs w:val="0"/>
          <w:color w:val="auto"/>
          <w:sz w:val="32"/>
          <w:szCs w:val="32"/>
          <w:lang w:val="en-US" w:eastAsia="zh-CN"/>
        </w:rPr>
        <w:t>管</w:t>
      </w:r>
      <w:r>
        <w:rPr>
          <w:rFonts w:hint="eastAsia" w:ascii="仿宋_GB2312" w:hAnsi="Times New Roman" w:eastAsia="仿宋_GB2312" w:cs="Times New Roman"/>
          <w:color w:val="auto"/>
          <w:sz w:val="32"/>
          <w:szCs w:val="32"/>
          <w:lang w:val="en-US" w:eastAsia="zh-CN"/>
        </w:rPr>
        <w:t>，依托辽宁省“互联网+监管”系统，实现各监管部门抽查检查事项清单、监管对象名录的常态化管理、动态化更新。2024年全市系统内共有20个部门在辽宁“互联网+监管”系统中有监管事项，均使用“互联网+监管”系统建立了抽查检查计划，系统使用率占比100%，共计建立“双随机、一公开”抽查检查任务62个，其中部门联合任务37个，联合任务占比59.68%。</w:t>
      </w:r>
    </w:p>
    <w:p w14:paraId="261F5476">
      <w:pPr>
        <w:numPr>
          <w:ilvl w:val="0"/>
          <w:numId w:val="0"/>
        </w:numPr>
        <w:ind w:firstLine="640" w:firstLineChars="200"/>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（四）提升市场监管效能。围绕守牢“三品一特”安全底线为重点全年开展了食品领域群</w:t>
      </w:r>
      <w:r>
        <w:rPr>
          <w:rFonts w:hint="eastAsia" w:ascii="仿宋_GB2312" w:hAnsi="Times New Roman" w:eastAsia="仿宋_GB2312" w:cs="Times New Roman"/>
          <w:b w:val="0"/>
          <w:bCs w:val="0"/>
          <w:color w:val="auto"/>
          <w:sz w:val="32"/>
          <w:szCs w:val="32"/>
          <w:lang w:val="en-US" w:eastAsia="zh-CN"/>
        </w:rPr>
        <w:t>访</w:t>
      </w:r>
      <w:r>
        <w:rPr>
          <w:rFonts w:hint="eastAsia" w:ascii="仿宋_GB2312" w:hAnsi="Times New Roman" w:eastAsia="仿宋_GB2312" w:cs="Times New Roman"/>
          <w:color w:val="auto"/>
          <w:sz w:val="32"/>
          <w:szCs w:val="32"/>
          <w:lang w:val="en-US" w:eastAsia="zh-CN"/>
        </w:rPr>
        <w:t>、校园食品安全自查整治、打击肉制品违法犯罪，药械妆领域攻坚行动和排查整治年工作，质量和特种设备领域电动自行车全链条整治、“百日攻坚战”“燃气复盘”等近30项重点专项整治行动，累计检查相关主体2600余家次，发现并整改问题隐患近800项，校园食品安全治理成效走在大连市前列。通过强化企业信用监管、</w:t>
      </w:r>
      <w:r>
        <w:rPr>
          <w:rFonts w:hint="eastAsia" w:ascii="仿宋_GB2312" w:hAnsi="Times New Roman" w:eastAsia="仿宋_GB2312" w:cs="Times New Roman"/>
          <w:b w:val="0"/>
          <w:bCs w:val="0"/>
          <w:color w:val="auto"/>
          <w:sz w:val="32"/>
          <w:szCs w:val="32"/>
          <w:lang w:val="en-US" w:eastAsia="zh-CN"/>
        </w:rPr>
        <w:t>价</w:t>
      </w:r>
      <w:r>
        <w:rPr>
          <w:rFonts w:hint="eastAsia" w:ascii="仿宋_GB2312" w:hAnsi="Times New Roman" w:eastAsia="仿宋_GB2312" w:cs="Times New Roman"/>
          <w:b w:val="0"/>
          <w:bCs w:val="0"/>
          <w:color w:val="auto"/>
          <w:sz w:val="32"/>
          <w:szCs w:val="32"/>
          <w:lang w:val="en-US" w:eastAsia="zh-CN"/>
        </w:rPr>
        <w:t>格</w:t>
      </w:r>
      <w:r>
        <w:rPr>
          <w:rFonts w:hint="eastAsia" w:ascii="仿宋_GB2312" w:hAnsi="Times New Roman" w:eastAsia="仿宋_GB2312" w:cs="Times New Roman"/>
          <w:color w:val="auto"/>
          <w:sz w:val="32"/>
          <w:szCs w:val="32"/>
          <w:lang w:val="en-US" w:eastAsia="zh-CN"/>
        </w:rPr>
        <w:t>监管、网络监管、广告监管以及知识产权“亮剑护航”等专项行动，实现市场经营秩序进一步规范，其中，我市率先完成企业年报公示且年报率达91.05%的显著成效得到大连市通报表扬；对电子秤市场累计检定7100余台、1500余台未强检电子秤立行立改的治理成果在大连市考核评分结果中稳居全市前两名；个体户监测工作得到省级肯定和市级表扬。</w:t>
      </w:r>
    </w:p>
    <w:p w14:paraId="54112A22">
      <w:pPr>
        <w:numPr>
          <w:ilvl w:val="0"/>
          <w:numId w:val="0"/>
        </w:numPr>
        <w:ind w:firstLine="640" w:firstLineChars="200"/>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五）聚焦行政执法关键环节，充分落实行政执法全程记录、执法公示制度和重大执法决定法制审核制度。印发了本局《进一步加强和规范行政执法工作的指导意见》，对本局权责清单、行政执法事项清单进行全面梳理和动态调整，积极落实辽宁省市场监管领域和药品监管领域行政执法“四张清单”。依法查处市场监管违法案件，充分发挥职能作用，维护市场安全与公平正义，特别是加大对食品和药品违法行为打击力度，我局2024年共立案查处500件行政处罚案件，同比增长57.23%，其中食品类313</w:t>
      </w:r>
      <w:r>
        <w:rPr>
          <w:rFonts w:hint="eastAsia" w:ascii="仿宋_GB2312" w:hAnsi="Times New Roman" w:eastAsia="仿宋_GB2312" w:cs="Times New Roman"/>
          <w:color w:val="auto"/>
          <w:sz w:val="32"/>
          <w:szCs w:val="32"/>
          <w:lang w:val="en-US" w:eastAsia="zh-CN"/>
        </w:rPr>
        <w:t>起</w:t>
      </w:r>
      <w:r>
        <w:rPr>
          <w:rFonts w:hint="eastAsia" w:ascii="仿宋_GB2312" w:hAnsi="Times New Roman" w:eastAsia="仿宋_GB2312" w:cs="Times New Roman"/>
          <w:color w:val="auto"/>
          <w:sz w:val="32"/>
          <w:szCs w:val="32"/>
          <w:lang w:val="en-US" w:eastAsia="zh-CN"/>
        </w:rPr>
        <w:t>、药品类57</w:t>
      </w:r>
      <w:r>
        <w:rPr>
          <w:rFonts w:hint="eastAsia" w:ascii="仿宋_GB2312" w:hAnsi="Times New Roman" w:eastAsia="仿宋_GB2312" w:cs="Times New Roman"/>
          <w:color w:val="auto"/>
          <w:sz w:val="32"/>
          <w:szCs w:val="32"/>
          <w:lang w:val="en-US" w:eastAsia="zh-CN"/>
        </w:rPr>
        <w:t>起</w:t>
      </w:r>
      <w:r>
        <w:rPr>
          <w:rFonts w:hint="eastAsia" w:ascii="仿宋_GB2312" w:hAnsi="Times New Roman" w:eastAsia="仿宋_GB2312" w:cs="Times New Roman"/>
          <w:color w:val="auto"/>
          <w:sz w:val="32"/>
          <w:szCs w:val="32"/>
          <w:lang w:val="en-US" w:eastAsia="zh-CN"/>
        </w:rPr>
        <w:t>、计量类30</w:t>
      </w:r>
      <w:r>
        <w:rPr>
          <w:rFonts w:hint="eastAsia" w:ascii="仿宋_GB2312" w:hAnsi="Times New Roman" w:eastAsia="仿宋_GB2312" w:cs="Times New Roman"/>
          <w:color w:val="auto"/>
          <w:sz w:val="32"/>
          <w:szCs w:val="32"/>
          <w:lang w:val="en-US" w:eastAsia="zh-CN"/>
        </w:rPr>
        <w:t>起</w:t>
      </w:r>
      <w:r>
        <w:rPr>
          <w:rFonts w:hint="eastAsia" w:ascii="仿宋_GB2312" w:hAnsi="Times New Roman" w:eastAsia="仿宋_GB2312" w:cs="Times New Roman"/>
          <w:color w:val="auto"/>
          <w:sz w:val="32"/>
          <w:szCs w:val="32"/>
          <w:lang w:val="en-US" w:eastAsia="zh-CN"/>
        </w:rPr>
        <w:t>、医疗器械类24</w:t>
      </w:r>
      <w:r>
        <w:rPr>
          <w:rFonts w:hint="eastAsia" w:ascii="仿宋_GB2312" w:hAnsi="Times New Roman" w:eastAsia="仿宋_GB2312" w:cs="Times New Roman"/>
          <w:color w:val="auto"/>
          <w:sz w:val="32"/>
          <w:szCs w:val="32"/>
          <w:lang w:val="en-US" w:eastAsia="zh-CN"/>
        </w:rPr>
        <w:t>起</w:t>
      </w:r>
      <w:r>
        <w:rPr>
          <w:rFonts w:hint="eastAsia" w:ascii="仿宋_GB2312" w:hAnsi="Times New Roman" w:eastAsia="仿宋_GB2312" w:cs="Times New Roman"/>
          <w:color w:val="auto"/>
          <w:sz w:val="32"/>
          <w:szCs w:val="32"/>
          <w:lang w:val="en-US" w:eastAsia="zh-CN"/>
        </w:rPr>
        <w:t>、质量类20</w:t>
      </w:r>
      <w:r>
        <w:rPr>
          <w:rFonts w:hint="eastAsia" w:ascii="仿宋_GB2312" w:hAnsi="Times New Roman" w:eastAsia="仿宋_GB2312" w:cs="Times New Roman"/>
          <w:color w:val="auto"/>
          <w:sz w:val="32"/>
          <w:szCs w:val="32"/>
          <w:lang w:val="en-US" w:eastAsia="zh-CN"/>
        </w:rPr>
        <w:t>起</w:t>
      </w:r>
      <w:r>
        <w:rPr>
          <w:rFonts w:hint="eastAsia" w:ascii="仿宋_GB2312" w:hAnsi="Times New Roman" w:eastAsia="仿宋_GB2312" w:cs="Times New Roman"/>
          <w:color w:val="auto"/>
          <w:sz w:val="32"/>
          <w:szCs w:val="32"/>
          <w:lang w:val="en-US" w:eastAsia="zh-CN"/>
        </w:rPr>
        <w:t>、价格类17</w:t>
      </w:r>
      <w:r>
        <w:rPr>
          <w:rFonts w:hint="eastAsia" w:ascii="仿宋_GB2312" w:hAnsi="Times New Roman" w:eastAsia="仿宋_GB2312" w:cs="Times New Roman"/>
          <w:color w:val="auto"/>
          <w:sz w:val="32"/>
          <w:szCs w:val="32"/>
          <w:lang w:val="en-US" w:eastAsia="zh-CN"/>
        </w:rPr>
        <w:t>起</w:t>
      </w:r>
      <w:r>
        <w:rPr>
          <w:rFonts w:hint="eastAsia" w:ascii="仿宋_GB2312" w:hAnsi="Times New Roman" w:eastAsia="仿宋_GB2312" w:cs="Times New Roman"/>
          <w:color w:val="auto"/>
          <w:sz w:val="32"/>
          <w:szCs w:val="32"/>
          <w:lang w:val="en-US" w:eastAsia="zh-CN"/>
        </w:rPr>
        <w:t>、无证无照类11</w:t>
      </w:r>
      <w:r>
        <w:rPr>
          <w:rFonts w:hint="eastAsia" w:ascii="仿宋_GB2312" w:hAnsi="Times New Roman" w:eastAsia="仿宋_GB2312" w:cs="Times New Roman"/>
          <w:color w:val="auto"/>
          <w:sz w:val="32"/>
          <w:szCs w:val="32"/>
          <w:lang w:val="en-US" w:eastAsia="zh-CN"/>
        </w:rPr>
        <w:t>起</w:t>
      </w:r>
      <w:r>
        <w:rPr>
          <w:rFonts w:hint="eastAsia" w:ascii="仿宋_GB2312" w:hAnsi="Times New Roman" w:eastAsia="仿宋_GB2312" w:cs="Times New Roman"/>
          <w:color w:val="auto"/>
          <w:sz w:val="32"/>
          <w:szCs w:val="32"/>
          <w:lang w:val="en-US" w:eastAsia="zh-CN"/>
        </w:rPr>
        <w:t>、认证认可</w:t>
      </w:r>
      <w:r>
        <w:rPr>
          <w:rFonts w:hint="eastAsia" w:ascii="仿宋_GB2312" w:hAnsi="Times New Roman" w:eastAsia="仿宋_GB2312" w:cs="Times New Roman"/>
          <w:color w:val="auto"/>
          <w:sz w:val="32"/>
          <w:szCs w:val="32"/>
          <w:lang w:val="en-US" w:eastAsia="zh-CN"/>
        </w:rPr>
        <w:t>类</w:t>
      </w:r>
      <w:r>
        <w:rPr>
          <w:rFonts w:hint="eastAsia" w:ascii="仿宋_GB2312" w:hAnsi="Times New Roman" w:eastAsia="仿宋_GB2312" w:cs="Times New Roman"/>
          <w:color w:val="auto"/>
          <w:sz w:val="32"/>
          <w:szCs w:val="32"/>
          <w:lang w:val="en-US" w:eastAsia="zh-CN"/>
        </w:rPr>
        <w:t>6</w:t>
      </w:r>
      <w:r>
        <w:rPr>
          <w:rFonts w:hint="eastAsia" w:ascii="仿宋_GB2312" w:hAnsi="Times New Roman" w:eastAsia="仿宋_GB2312" w:cs="Times New Roman"/>
          <w:color w:val="auto"/>
          <w:sz w:val="32"/>
          <w:szCs w:val="32"/>
          <w:lang w:val="en-US" w:eastAsia="zh-CN"/>
        </w:rPr>
        <w:t>起</w:t>
      </w:r>
      <w:r>
        <w:rPr>
          <w:rFonts w:hint="eastAsia" w:ascii="仿宋_GB2312" w:hAnsi="Times New Roman" w:eastAsia="仿宋_GB2312" w:cs="Times New Roman"/>
          <w:color w:val="auto"/>
          <w:sz w:val="32"/>
          <w:szCs w:val="32"/>
          <w:lang w:val="en-US" w:eastAsia="zh-CN"/>
        </w:rPr>
        <w:t>、广告类6</w:t>
      </w:r>
      <w:r>
        <w:rPr>
          <w:rFonts w:hint="eastAsia" w:ascii="仿宋_GB2312" w:hAnsi="Times New Roman" w:eastAsia="仿宋_GB2312" w:cs="Times New Roman"/>
          <w:color w:val="auto"/>
          <w:sz w:val="32"/>
          <w:szCs w:val="32"/>
          <w:lang w:val="en-US" w:eastAsia="zh-CN"/>
        </w:rPr>
        <w:t>起</w:t>
      </w:r>
      <w:r>
        <w:rPr>
          <w:rFonts w:hint="eastAsia" w:ascii="仿宋_GB2312" w:hAnsi="Times New Roman" w:eastAsia="仿宋_GB2312" w:cs="Times New Roman"/>
          <w:color w:val="auto"/>
          <w:sz w:val="32"/>
          <w:szCs w:val="32"/>
          <w:lang w:val="en-US" w:eastAsia="zh-CN"/>
        </w:rPr>
        <w:t>、</w:t>
      </w:r>
      <w:r>
        <w:rPr>
          <w:rFonts w:hint="eastAsia" w:ascii="仿宋_GB2312" w:hAnsi="Times New Roman" w:eastAsia="仿宋_GB2312" w:cs="Times New Roman"/>
          <w:color w:val="auto"/>
          <w:sz w:val="32"/>
          <w:szCs w:val="32"/>
          <w:lang w:val="en-US" w:eastAsia="zh-CN"/>
        </w:rPr>
        <w:t>市场主体登记类4起、特种设备类3起、化妆品类3起、知识产权类2起、标准类1起、消费者权益保护类1起、其他类2起，罚没款总数77.96万，进一步净化了市场环境，筑</w:t>
      </w:r>
      <w:r>
        <w:rPr>
          <w:rFonts w:hint="eastAsia" w:ascii="仿宋_GB2312" w:hAnsi="Times New Roman" w:eastAsia="仿宋_GB2312" w:cs="Times New Roman"/>
          <w:color w:val="auto"/>
          <w:sz w:val="32"/>
          <w:szCs w:val="32"/>
          <w:lang w:val="en-US" w:eastAsia="zh-CN"/>
        </w:rPr>
        <w:t>牢市场安全底线。</w:t>
      </w:r>
    </w:p>
    <w:p w14:paraId="272F102C">
      <w:pPr>
        <w:ind w:firstLine="640"/>
        <w:jc w:val="left"/>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二、2024年推进法治政府建设存在的不足和原因</w:t>
      </w:r>
    </w:p>
    <w:p w14:paraId="1F8A51CD">
      <w:pPr>
        <w:numPr>
          <w:ilvl w:val="0"/>
          <w:numId w:val="0"/>
        </w:numPr>
        <w:ind w:firstLine="640" w:firstLineChars="200"/>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在肯定2024年法治政府建设工作取得成绩的同时，我们也清醒地认识到，距离上级的要求、市场的需求、群众的期盼仍有一定差距。一是执法队伍建设有所缺位，执法力量不足、人员结构及执法装备严重老化，市场监管体量巨大，执法能力与新发展阶段市场监管工作不相适应，履职尽责能力有待进一步提高。二是政务建设创新不够，如信息化监管手段缺乏、对市场监管的支撑保障能力不足，导致监管效率不高。</w:t>
      </w:r>
    </w:p>
    <w:p w14:paraId="7C5145E0">
      <w:pPr>
        <w:ind w:firstLine="640" w:firstLineChars="200"/>
        <w:jc w:val="left"/>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三、2024年党政主要责任人履行推进法治建设第一责任人职责，加强法治政府建设的有关情况</w:t>
      </w:r>
    </w:p>
    <w:p w14:paraId="34910E64">
      <w:pPr>
        <w:numPr>
          <w:ilvl w:val="0"/>
          <w:numId w:val="0"/>
        </w:numPr>
        <w:ind w:firstLine="640" w:firstLineChars="200"/>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（一）加强组织领导,落实法治建设责任。局党组书记、局长坚持对全局法治建设重要工作</w:t>
      </w:r>
      <w:r>
        <w:rPr>
          <w:rFonts w:hint="eastAsia" w:ascii="仿宋_GB2312" w:hAnsi="Times New Roman" w:eastAsia="仿宋_GB2312" w:cs="Times New Roman"/>
          <w:color w:val="auto"/>
          <w:sz w:val="32"/>
          <w:szCs w:val="32"/>
          <w:lang w:val="en-US" w:eastAsia="zh-CN"/>
        </w:rPr>
        <w:t>亲自</w:t>
      </w:r>
      <w:r>
        <w:rPr>
          <w:rFonts w:hint="eastAsia" w:ascii="仿宋_GB2312" w:hAnsi="Times New Roman" w:eastAsia="仿宋_GB2312" w:cs="Times New Roman"/>
          <w:color w:val="auto"/>
          <w:sz w:val="32"/>
          <w:szCs w:val="32"/>
          <w:lang w:val="en-US" w:eastAsia="zh-CN"/>
        </w:rPr>
        <w:t>部署、重大问题</w:t>
      </w:r>
      <w:r>
        <w:rPr>
          <w:rFonts w:hint="eastAsia" w:ascii="仿宋_GB2312" w:hAnsi="Times New Roman" w:eastAsia="仿宋_GB2312" w:cs="Times New Roman"/>
          <w:color w:val="auto"/>
          <w:sz w:val="32"/>
          <w:szCs w:val="32"/>
          <w:lang w:val="en-US" w:eastAsia="zh-CN"/>
        </w:rPr>
        <w:t>亲自</w:t>
      </w:r>
      <w:r>
        <w:rPr>
          <w:rFonts w:hint="eastAsia" w:ascii="仿宋_GB2312" w:hAnsi="Times New Roman" w:eastAsia="仿宋_GB2312" w:cs="Times New Roman"/>
          <w:color w:val="auto"/>
          <w:sz w:val="32"/>
          <w:szCs w:val="32"/>
          <w:lang w:val="en-US" w:eastAsia="zh-CN"/>
        </w:rPr>
        <w:t>过问、重点环节</w:t>
      </w:r>
      <w:r>
        <w:rPr>
          <w:rFonts w:hint="eastAsia" w:ascii="仿宋_GB2312" w:hAnsi="Times New Roman" w:eastAsia="仿宋_GB2312" w:cs="Times New Roman"/>
          <w:color w:val="auto"/>
          <w:sz w:val="32"/>
          <w:szCs w:val="32"/>
          <w:lang w:val="en-US" w:eastAsia="zh-CN"/>
        </w:rPr>
        <w:t>亲自</w:t>
      </w:r>
      <w:r>
        <w:rPr>
          <w:rFonts w:hint="eastAsia" w:ascii="仿宋_GB2312" w:hAnsi="Times New Roman" w:eastAsia="仿宋_GB2312" w:cs="Times New Roman"/>
          <w:color w:val="auto"/>
          <w:sz w:val="32"/>
          <w:szCs w:val="32"/>
          <w:lang w:val="en-US" w:eastAsia="zh-CN"/>
        </w:rPr>
        <w:t>协调、重要任务</w:t>
      </w:r>
      <w:r>
        <w:rPr>
          <w:rFonts w:hint="eastAsia" w:ascii="仿宋_GB2312" w:hAnsi="Times New Roman" w:eastAsia="仿宋_GB2312" w:cs="Times New Roman"/>
          <w:color w:val="auto"/>
          <w:sz w:val="32"/>
          <w:szCs w:val="32"/>
          <w:lang w:val="en-US" w:eastAsia="zh-CN"/>
        </w:rPr>
        <w:t>亲自</w:t>
      </w:r>
      <w:r>
        <w:rPr>
          <w:rFonts w:hint="eastAsia" w:ascii="仿宋_GB2312" w:hAnsi="Times New Roman" w:eastAsia="仿宋_GB2312" w:cs="Times New Roman"/>
          <w:color w:val="auto"/>
          <w:sz w:val="32"/>
          <w:szCs w:val="32"/>
          <w:lang w:val="en-US" w:eastAsia="zh-CN"/>
        </w:rPr>
        <w:t>督办,统筹推进法治建设工作各项事务,为法治建设工作的顺利开展提供了强有力的组织保障。 </w:t>
      </w:r>
    </w:p>
    <w:p w14:paraId="248B9ED5">
      <w:pPr>
        <w:numPr>
          <w:ilvl w:val="0"/>
          <w:numId w:val="0"/>
        </w:numPr>
        <w:ind w:firstLine="640" w:firstLineChars="200"/>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（二）发挥示范作用,带头学法守法用法。深入学习习近平法治思想,学习习近平总书记在中央全面依法治国委员会</w:t>
      </w:r>
      <w:r>
        <w:rPr>
          <w:rFonts w:hint="eastAsia" w:ascii="仿宋_GB2312" w:hAnsi="Times New Roman" w:eastAsia="仿宋_GB2312" w:cs="Times New Roman"/>
          <w:color w:val="auto"/>
          <w:sz w:val="32"/>
          <w:szCs w:val="32"/>
          <w:lang w:val="en-US" w:eastAsia="zh-CN"/>
        </w:rPr>
        <w:t>会议</w:t>
      </w:r>
      <w:r>
        <w:rPr>
          <w:rFonts w:hint="eastAsia" w:ascii="仿宋_GB2312" w:hAnsi="Times New Roman" w:eastAsia="仿宋_GB2312" w:cs="Times New Roman"/>
          <w:color w:val="auto"/>
          <w:sz w:val="32"/>
          <w:szCs w:val="32"/>
          <w:lang w:val="en-US" w:eastAsia="zh-CN"/>
        </w:rPr>
        <w:t>上的重要讲话精神,坚持做带头学法、克己守法、规范用法的先锋和表率。充分利用理论中心组学习(扩大)会议和主题党日等活动学习《习近平谈治国理政》《习近平法治思想学习纲要》《中华人民共和国宪法》《民法典》，并系统学习市场监管相关法律法规。</w:t>
      </w:r>
    </w:p>
    <w:p w14:paraId="562D342C">
      <w:pPr>
        <w:numPr>
          <w:ilvl w:val="0"/>
          <w:numId w:val="0"/>
        </w:numPr>
        <w:ind w:firstLine="640" w:firstLineChars="200"/>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（三）严格依法依规决策,执行重大决策法定程序，严格执行对重大事项决策都在充分论证评估、听取多方意见的基础上,经集体讨论研究后实施,不搞一言堂。</w:t>
      </w:r>
    </w:p>
    <w:p w14:paraId="38EC3656">
      <w:pPr>
        <w:ind w:firstLine="640" w:firstLineChars="200"/>
        <w:jc w:val="left"/>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四、2025年推进法治政府建设的主要安排</w:t>
      </w:r>
    </w:p>
    <w:p w14:paraId="4BE9E75A">
      <w:pPr>
        <w:numPr>
          <w:ilvl w:val="0"/>
          <w:numId w:val="0"/>
        </w:numPr>
        <w:ind w:firstLine="640" w:firstLineChars="200"/>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一）全面加强党的领导。继续加强政治建设，贯彻落实党中央决策部署和习近平总书记对市场监管工作的重要指示精神。深化全面从严治党，坚决落实中央八项规定精神，持之以恒纠治“四风”，开展纪律教育，强化纪律执行，精准运用“四种形态”。</w:t>
      </w:r>
    </w:p>
    <w:p w14:paraId="78A779D7">
      <w:pPr>
        <w:numPr>
          <w:ilvl w:val="0"/>
          <w:numId w:val="0"/>
        </w:numPr>
        <w:ind w:firstLine="640" w:firstLineChars="200"/>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二）守牢“三品一特”安全底线。夯实食品药品安全“三个责任”，围绕重点领域、重点环节重点整治食品药品突出问题，综合运用监督检查、抽检监测、投诉举报、舆情监测等手段全力提升食品药品监管能力；强化产品质量和特种设备安全源头治理，深入开展农资打假和燃气相关产品等质量监管，努力实现电梯检验检测全过程监管、电梯全生命周期智慧监管，全部工业气瓶和车用气瓶充装单位建立追溯体系，实施封闭运行管理，常态化开展超期未检特种设备整治行动。</w:t>
      </w:r>
    </w:p>
    <w:p w14:paraId="4C664399">
      <w:pPr>
        <w:numPr>
          <w:ilvl w:val="0"/>
          <w:numId w:val="0"/>
        </w:numPr>
        <w:ind w:firstLine="640" w:firstLineChars="200"/>
        <w:rPr>
          <w:rFonts w:hint="default"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三）进一步规范市场经营秩序。围绕重点民生领域强化教育、医疗等领域收费专项整治；持续推动“明秤”工程，开展贸易结算用电子秤等衡器强制检定专项整治。深入开展反不正当竞争“守护”、知识产权“亮剑护航”以及各类广告整治等专项行动。维护好消费者正当权益，切实提高消费纠纷化解质效。</w:t>
      </w:r>
    </w:p>
    <w:p w14:paraId="20CA7E6B">
      <w:pPr>
        <w:numPr>
          <w:ilvl w:val="0"/>
          <w:numId w:val="0"/>
        </w:numPr>
        <w:ind w:firstLine="640" w:firstLineChars="200"/>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（四）主动融入全国统一大市场。推行公平竞争审查“起草机构初审+特定机构复审”的双审查工作机制。2025年基本建成全面覆盖、规则完备、权责明确、运行高效、监督有力的公平竞争审查制度体系。</w:t>
      </w:r>
    </w:p>
    <w:p w14:paraId="7DBD0DC4">
      <w:pPr>
        <w:numPr>
          <w:ilvl w:val="0"/>
          <w:numId w:val="0"/>
        </w:numPr>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Times New Roman" w:eastAsia="仿宋_GB2312" w:cs="Times New Roman"/>
          <w:color w:val="auto"/>
          <w:sz w:val="32"/>
          <w:szCs w:val="32"/>
          <w:lang w:val="en-US" w:eastAsia="zh-CN"/>
        </w:rPr>
        <w:t>（五）提升市场监管效能。推广企业信用风险分类结果在各监管部门间共享共用，深入推进部门联合“双随机、一公开”监管。2025年年底前全市部门联合抽查检查任务占比达到40%，“无事不扰”“无处不在”的监管预期基本形成。</w:t>
      </w:r>
    </w:p>
    <w:p w14:paraId="1D7DDB46">
      <w:pPr>
        <w:ind w:firstLine="640" w:firstLineChars="200"/>
        <w:rPr>
          <w:rFonts w:hint="eastAsia" w:ascii="仿宋_GB2312" w:hAnsi="Times New Roman" w:eastAsia="仿宋_GB2312" w:cs="Times New Roman"/>
          <w:color w:val="auto"/>
          <w:sz w:val="32"/>
          <w:szCs w:val="32"/>
          <w:lang w:eastAsia="zh-CN"/>
        </w:rPr>
      </w:pPr>
    </w:p>
    <w:p w14:paraId="5BF962EF">
      <w:pPr>
        <w:numPr>
          <w:ilvl w:val="0"/>
          <w:numId w:val="0"/>
        </w:numPr>
        <w:ind w:firstLine="420" w:firstLineChars="200"/>
        <w:rPr>
          <w:rFonts w:hint="eastAsia" w:ascii="仿宋_GB2312" w:hAnsi="Times New Roman" w:eastAsia="仿宋_GB2312" w:cs="Times New Roman"/>
          <w:color w:val="auto"/>
          <w:sz w:val="32"/>
          <w:szCs w:val="32"/>
          <w:lang w:val="en-US" w:eastAsia="zh-CN"/>
        </w:rPr>
      </w:pPr>
      <w:r>
        <w:rPr>
          <w:rFonts w:hint="eastAsia"/>
          <w:color w:val="auto"/>
          <w:lang w:val="en-US" w:eastAsia="zh-CN"/>
        </w:rPr>
        <w:t xml:space="preserve">                               </w:t>
      </w:r>
      <w:r>
        <w:rPr>
          <w:rFonts w:hint="eastAsia" w:ascii="仿宋_GB2312" w:hAnsi="Times New Roman" w:eastAsia="仿宋_GB2312" w:cs="Times New Roman"/>
          <w:color w:val="auto"/>
          <w:sz w:val="32"/>
          <w:szCs w:val="32"/>
          <w:lang w:val="en-US" w:eastAsia="zh-CN"/>
        </w:rPr>
        <w:t xml:space="preserve">   庄河市市场监督管理局</w:t>
      </w:r>
    </w:p>
    <w:p w14:paraId="2FA2CF76">
      <w:pPr>
        <w:numPr>
          <w:ilvl w:val="0"/>
          <w:numId w:val="0"/>
        </w:numPr>
        <w:ind w:firstLine="4480" w:firstLineChars="1400"/>
        <w:rPr>
          <w:rFonts w:hint="default"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2025年1月16日</w:t>
      </w:r>
    </w:p>
    <w:p w14:paraId="05E9A75E">
      <w:pPr>
        <w:numPr>
          <w:ilvl w:val="0"/>
          <w:numId w:val="0"/>
        </w:numPr>
        <w:ind w:firstLine="640" w:firstLineChars="200"/>
        <w:rPr>
          <w:rFonts w:hint="eastAsia" w:ascii="仿宋_GB2312" w:hAnsi="仿宋_GB2312" w:eastAsia="仿宋_GB2312" w:cs="仿宋_GB2312"/>
          <w:b w:val="0"/>
          <w:bCs w:val="0"/>
          <w:color w:val="auto"/>
          <w:sz w:val="32"/>
          <w:szCs w:val="32"/>
          <w:lang w:val="en-US" w:eastAsia="zh-CN"/>
        </w:rPr>
      </w:pPr>
    </w:p>
    <w:p w14:paraId="3250DFC3">
      <w:pPr>
        <w:widowControl w:val="0"/>
        <w:numPr>
          <w:ilvl w:val="0"/>
          <w:numId w:val="0"/>
        </w:numPr>
        <w:ind w:firstLine="3360" w:firstLineChars="1600"/>
        <w:jc w:val="both"/>
        <w:rPr>
          <w:rFonts w:hint="default"/>
          <w:color w:val="auto"/>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F9EEE">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671719">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1671719">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lMjYzNjhlMDY5NTc2Yzc3NmU4YWZjM2FjYjlmOTUifQ=="/>
  </w:docVars>
  <w:rsids>
    <w:rsidRoot w:val="00000000"/>
    <w:rsid w:val="00FE5750"/>
    <w:rsid w:val="06FD269B"/>
    <w:rsid w:val="098162CB"/>
    <w:rsid w:val="0D1D288C"/>
    <w:rsid w:val="0F16223D"/>
    <w:rsid w:val="170D122D"/>
    <w:rsid w:val="19F57AA3"/>
    <w:rsid w:val="1AC47300"/>
    <w:rsid w:val="1C67350C"/>
    <w:rsid w:val="24D15A5D"/>
    <w:rsid w:val="28977275"/>
    <w:rsid w:val="2A6D549D"/>
    <w:rsid w:val="33235945"/>
    <w:rsid w:val="336F4A98"/>
    <w:rsid w:val="38994B16"/>
    <w:rsid w:val="4339622E"/>
    <w:rsid w:val="45235E7C"/>
    <w:rsid w:val="4F0C2A48"/>
    <w:rsid w:val="500A6E00"/>
    <w:rsid w:val="50770396"/>
    <w:rsid w:val="529A3959"/>
    <w:rsid w:val="55E336EA"/>
    <w:rsid w:val="57813CEB"/>
    <w:rsid w:val="59DE659B"/>
    <w:rsid w:val="5DAF3732"/>
    <w:rsid w:val="614F28E9"/>
    <w:rsid w:val="63267683"/>
    <w:rsid w:val="64A13EC1"/>
    <w:rsid w:val="67994D21"/>
    <w:rsid w:val="72654BD4"/>
    <w:rsid w:val="7629241D"/>
    <w:rsid w:val="7DB65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iPriority="99"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3"/>
    <w:basedOn w:val="1"/>
    <w:next w:val="1"/>
    <w:qFormat/>
    <w:uiPriority w:val="0"/>
    <w:pPr>
      <w:keepNext/>
      <w:keepLines/>
      <w:spacing w:before="260" w:after="260" w:line="416" w:lineRule="atLeast"/>
      <w:outlineLvl w:val="2"/>
    </w:pPr>
    <w:rPr>
      <w:b/>
      <w:bCs/>
      <w:szCs w:val="32"/>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autoRedefine/>
    <w:unhideWhenUsed/>
    <w:qFormat/>
    <w:uiPriority w:val="0"/>
    <w:pPr>
      <w:ind w:firstLine="420" w:firstLineChars="200"/>
    </w:pPr>
    <w:rPr>
      <w:rFonts w:ascii="Calibri" w:hAnsi="Calibri" w:eastAsia="宋体" w:cs="Times New Roman"/>
    </w:rPr>
  </w:style>
  <w:style w:type="paragraph" w:styleId="3">
    <w:name w:val="Body Text"/>
    <w:basedOn w:val="1"/>
    <w:next w:val="2"/>
    <w:autoRedefine/>
    <w:qFormat/>
    <w:uiPriority w:val="0"/>
    <w:pPr>
      <w:spacing w:after="120" w:afterLines="0" w:afterAutospacing="0"/>
    </w:pPr>
  </w:style>
  <w:style w:type="paragraph" w:styleId="5">
    <w:name w:val="Body Text Indent"/>
    <w:basedOn w:val="1"/>
    <w:next w:val="2"/>
    <w:autoRedefine/>
    <w:qFormat/>
    <w:uiPriority w:val="99"/>
    <w:pPr>
      <w:spacing w:line="300" w:lineRule="auto"/>
      <w:ind w:firstLine="200"/>
    </w:pPr>
    <w:rPr>
      <w:sz w:val="28"/>
      <w:szCs w:val="28"/>
    </w:rPr>
  </w:style>
  <w:style w:type="paragraph" w:styleId="6">
    <w:name w:val="Block Text"/>
    <w:basedOn w:val="1"/>
    <w:autoRedefine/>
    <w:qFormat/>
    <w:uiPriority w:val="0"/>
    <w:rPr>
      <w:rFonts w:hint="eastAsia" w:ascii="Calibri" w:hAnsi="Calibri" w:eastAsia="宋体" w:cs="Times New Roman"/>
      <w:sz w:val="32"/>
    </w:rPr>
  </w:style>
  <w:style w:type="paragraph" w:styleId="7">
    <w:name w:val="HTML Address"/>
    <w:basedOn w:val="1"/>
    <w:autoRedefine/>
    <w:qFormat/>
    <w:uiPriority w:val="0"/>
    <w:rPr>
      <w:i/>
      <w:iCs/>
    </w:r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autoRedefine/>
    <w:semiHidden/>
    <w:unhideWhenUsed/>
    <w:qFormat/>
    <w:uiPriority w:val="99"/>
    <w:pPr>
      <w:spacing w:after="120" w:line="480" w:lineRule="auto"/>
    </w:pPr>
  </w:style>
  <w:style w:type="paragraph" w:styleId="11">
    <w:name w:val="Normal (Web)"/>
    <w:basedOn w:val="1"/>
    <w:autoRedefine/>
    <w:qFormat/>
    <w:uiPriority w:val="99"/>
    <w:pPr>
      <w:spacing w:before="100" w:beforeAutospacing="1" w:after="100" w:afterAutospacing="1"/>
      <w:jc w:val="left"/>
    </w:pPr>
    <w:rPr>
      <w:kern w:val="0"/>
      <w:sz w:val="24"/>
    </w:rPr>
  </w:style>
  <w:style w:type="paragraph" w:styleId="12">
    <w:name w:val="Body Text First Indent 2"/>
    <w:basedOn w:val="5"/>
    <w:next w:val="1"/>
    <w:autoRedefine/>
    <w:qFormat/>
    <w:uiPriority w:val="99"/>
    <w:pPr>
      <w:ind w:firstLine="420" w:firstLineChars="200"/>
    </w:pPr>
  </w:style>
  <w:style w:type="character" w:styleId="15">
    <w:name w:val="page number"/>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2793</Words>
  <Characters>2892</Characters>
  <Lines>0</Lines>
  <Paragraphs>0</Paragraphs>
  <TotalTime>52</TotalTime>
  <ScaleCrop>false</ScaleCrop>
  <LinksUpToDate>false</LinksUpToDate>
  <CharactersWithSpaces>2936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2023-12-20T02:31:00Z</dcterms:created>
  <dc:creator>lenovo-1</dc:creator>
  <cp:lastModifiedBy>奔跑的蜗牛秋</cp:lastModifiedBy>
  <cp:lastPrinted>2025-01-16T06:27:00Z</cp:lastPrinted>
  <dcterms:modified xsi:type="dcterms:W3CDTF">2025-03-27T02:30:12Z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47D8A0C95FF6471298E99F4E84BD5B8E_12</vt:lpwstr>
  </property>
  <property fmtid="{D5CDD505-2E9C-101B-9397-08002B2CF9AE}" pid="4" name="KSOTemplateDocerSaveRecord">
    <vt:lpwstr>eyJoZGlkIjoiMTMxMzg5Y2EwNWJmZjEyMjA2YTIxN2M4OTU1MmQxYTUiLCJ1c2VySWQiOiI3MzE0MTc2MTIifQ==</vt:lpwstr>
  </property>
</Properties>
</file>