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C84B2">
      <w:pPr>
        <w:pageBreakBefore w:val="0"/>
        <w:kinsoku/>
        <w:wordWrap/>
        <w:overflowPunct/>
        <w:topLinePunct w:val="0"/>
        <w:autoSpaceDE/>
        <w:autoSpaceDN/>
        <w:bidi w:val="0"/>
        <w:adjustRightInd/>
        <w:snapToGrid/>
        <w:spacing w:line="240" w:lineRule="auto"/>
        <w:jc w:val="center"/>
        <w:textAlignment w:val="auto"/>
        <w:rPr>
          <w:rFonts w:hint="eastAsia" w:ascii="方正小标宋简体" w:eastAsia="方正小标宋简体"/>
          <w:color w:val="auto"/>
          <w:sz w:val="44"/>
          <w:szCs w:val="44"/>
        </w:rPr>
      </w:pPr>
      <w:r>
        <w:rPr>
          <w:rFonts w:hint="eastAsia" w:ascii="方正小标宋简体" w:eastAsia="方正小标宋简体"/>
          <w:color w:val="auto"/>
          <w:sz w:val="44"/>
          <w:szCs w:val="44"/>
        </w:rPr>
        <w:t>庄河市</w:t>
      </w:r>
      <w:bookmarkStart w:id="0" w:name="OLE_LINK1"/>
      <w:r>
        <w:rPr>
          <w:rFonts w:hint="eastAsia" w:ascii="方正小标宋简体" w:eastAsia="方正小标宋简体"/>
          <w:color w:val="auto"/>
          <w:sz w:val="44"/>
          <w:szCs w:val="44"/>
        </w:rPr>
        <w:t>住房和城乡建设局</w:t>
      </w:r>
      <w:bookmarkEnd w:id="0"/>
      <w:r>
        <w:rPr>
          <w:rFonts w:hint="eastAsia" w:ascii="方正小标宋简体" w:eastAsia="方正小标宋简体"/>
          <w:color w:val="auto"/>
          <w:sz w:val="44"/>
          <w:szCs w:val="44"/>
        </w:rPr>
        <w:t>202</w:t>
      </w:r>
      <w:r>
        <w:rPr>
          <w:rFonts w:hint="eastAsia" w:ascii="方正小标宋简体" w:eastAsia="方正小标宋简体"/>
          <w:color w:val="auto"/>
          <w:sz w:val="44"/>
          <w:szCs w:val="44"/>
          <w:lang w:val="en-US" w:eastAsia="zh-CN"/>
        </w:rPr>
        <w:t>4</w:t>
      </w:r>
      <w:r>
        <w:rPr>
          <w:rFonts w:hint="eastAsia" w:ascii="方正小标宋简体" w:eastAsia="方正小标宋简体"/>
          <w:color w:val="auto"/>
          <w:sz w:val="44"/>
          <w:szCs w:val="44"/>
        </w:rPr>
        <w:t>年</w:t>
      </w:r>
    </w:p>
    <w:p w14:paraId="2821302C">
      <w:pPr>
        <w:keepNext w:val="0"/>
        <w:keepLines w:val="0"/>
        <w:pageBreakBefore w:val="0"/>
        <w:widowControl w:val="0"/>
        <w:kinsoku/>
        <w:wordWrap/>
        <w:overflowPunct/>
        <w:topLinePunct w:val="0"/>
        <w:autoSpaceDE/>
        <w:autoSpaceDN/>
        <w:bidi w:val="0"/>
        <w:adjustRightInd/>
        <w:snapToGrid/>
        <w:spacing w:before="157" w:beforeLines="50" w:after="157" w:afterLines="50" w:line="660" w:lineRule="exact"/>
        <w:jc w:val="center"/>
        <w:textAlignment w:val="auto"/>
        <w:rPr>
          <w:rFonts w:ascii="方正小标宋简体" w:eastAsia="方正小标宋简体"/>
          <w:color w:val="auto"/>
          <w:sz w:val="44"/>
          <w:szCs w:val="44"/>
        </w:rPr>
      </w:pPr>
      <w:r>
        <w:rPr>
          <w:rFonts w:hint="eastAsia" w:ascii="方正小标宋简体" w:eastAsia="方正小标宋简体"/>
          <w:color w:val="auto"/>
          <w:sz w:val="44"/>
          <w:szCs w:val="44"/>
        </w:rPr>
        <w:t>法治政府建设情况报告</w:t>
      </w:r>
      <w:bookmarkStart w:id="1" w:name="_GoBack"/>
      <w:bookmarkEnd w:id="1"/>
    </w:p>
    <w:p w14:paraId="4B97EDC7">
      <w:pPr>
        <w:keepNext w:val="0"/>
        <w:keepLines w:val="0"/>
        <w:pageBreakBefore w:val="0"/>
        <w:widowControl w:val="0"/>
        <w:suppressLineNumbers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中共庄河市委：</w:t>
      </w:r>
    </w:p>
    <w:p w14:paraId="2A80FCD0">
      <w:pPr>
        <w:keepNext w:val="0"/>
        <w:keepLines w:val="0"/>
        <w:pageBreakBefore w:val="0"/>
        <w:widowControl w:val="0"/>
        <w:suppressLineNumbers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2024年，庄河市</w:t>
      </w:r>
      <w:r>
        <w:rPr>
          <w:rFonts w:hint="eastAsia" w:ascii="仿宋_GB2312" w:hAnsi="仿宋_GB2312" w:eastAsia="仿宋_GB2312" w:cs="仿宋_GB2312"/>
          <w:b w:val="0"/>
          <w:bCs w:val="0"/>
          <w:color w:val="auto"/>
          <w:sz w:val="32"/>
          <w:szCs w:val="32"/>
          <w:highlight w:val="none"/>
          <w:lang w:val="en-US" w:eastAsia="zh-CN"/>
        </w:rPr>
        <w:fldChar w:fldCharType="begin"/>
      </w:r>
      <w:r>
        <w:rPr>
          <w:rFonts w:hint="eastAsia" w:ascii="仿宋_GB2312" w:hAnsi="仿宋_GB2312" w:eastAsia="仿宋_GB2312" w:cs="仿宋_GB2312"/>
          <w:b w:val="0"/>
          <w:bCs w:val="0"/>
          <w:color w:val="auto"/>
          <w:sz w:val="32"/>
          <w:szCs w:val="32"/>
          <w:highlight w:val="none"/>
          <w:lang w:val="en-US" w:eastAsia="zh-CN"/>
        </w:rPr>
        <w:instrText xml:space="preserve"> LINK Word.Document.12 "C:\\Users\\Administrator\\Desktop\\庄河市住房和城乡建设局关于2021年法治政府建设情况的报告.docx" "OLE_LINK1" \a \r  \* MERGEFORMAT </w:instrText>
      </w:r>
      <w:r>
        <w:rPr>
          <w:rFonts w:hint="eastAsia" w:ascii="仿宋_GB2312" w:hAnsi="仿宋_GB2312" w:eastAsia="仿宋_GB2312" w:cs="仿宋_GB2312"/>
          <w:b w:val="0"/>
          <w:bCs w:val="0"/>
          <w:color w:val="auto"/>
          <w:sz w:val="32"/>
          <w:szCs w:val="32"/>
          <w:highlight w:val="none"/>
          <w:lang w:val="en-US" w:eastAsia="zh-CN"/>
        </w:rPr>
        <w:fldChar w:fldCharType="separate"/>
      </w:r>
      <w:r>
        <w:rPr>
          <w:rFonts w:hint="eastAsia" w:ascii="仿宋_GB2312" w:hAnsi="仿宋_GB2312" w:eastAsia="仿宋_GB2312" w:cs="仿宋_GB2312"/>
          <w:b w:val="0"/>
          <w:bCs w:val="0"/>
          <w:color w:val="auto"/>
          <w:sz w:val="32"/>
          <w:szCs w:val="32"/>
          <w:highlight w:val="none"/>
          <w:lang w:val="en-US" w:eastAsia="zh-CN"/>
        </w:rPr>
        <w:t>住房和城乡建设局</w:t>
      </w:r>
      <w:r>
        <w:rPr>
          <w:rFonts w:hint="eastAsia" w:ascii="仿宋_GB2312" w:hAnsi="仿宋_GB2312" w:eastAsia="仿宋_GB2312" w:cs="仿宋_GB2312"/>
          <w:b w:val="0"/>
          <w:bCs w:val="0"/>
          <w:color w:val="auto"/>
          <w:sz w:val="32"/>
          <w:szCs w:val="32"/>
          <w:highlight w:val="none"/>
          <w:lang w:val="en-US" w:eastAsia="zh-CN"/>
        </w:rPr>
        <w:fldChar w:fldCharType="end"/>
      </w:r>
      <w:r>
        <w:rPr>
          <w:rFonts w:hint="eastAsia" w:ascii="仿宋_GB2312" w:hAnsi="仿宋_GB2312" w:eastAsia="仿宋_GB2312" w:cs="仿宋_GB2312"/>
          <w:b w:val="0"/>
          <w:bCs w:val="0"/>
          <w:color w:val="auto"/>
          <w:sz w:val="32"/>
          <w:szCs w:val="32"/>
          <w:highlight w:val="none"/>
          <w:lang w:val="en-US" w:eastAsia="zh-CN"/>
        </w:rPr>
        <w:t>以习近平新时代中国特色社会主义思想为指导，结合《庄河市2024年推进法治政府建设十项重点任务》《庄河市贯彻落实‹法治政府建设实施纲要（2021-2025年）›重要任务举措分工方案》提出的要求，深入推进法治政府建设。现就市住建局2024年法治政府建设情况报告如下：</w:t>
      </w:r>
    </w:p>
    <w:p w14:paraId="5BB3A263">
      <w:pPr>
        <w:keepNext w:val="0"/>
        <w:keepLines w:val="0"/>
        <w:pageBreakBefore w:val="0"/>
        <w:kinsoku/>
        <w:wordWrap/>
        <w:overflowPunct/>
        <w:topLinePunct w:val="0"/>
        <w:autoSpaceDN/>
        <w:bidi w:val="0"/>
        <w:adjustRightInd/>
        <w:snapToGrid/>
        <w:spacing w:line="60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一、推进法治政府建设的主要举措和成效</w:t>
      </w:r>
    </w:p>
    <w:p w14:paraId="6F35342E">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（一）深化行政执法三项制度落实。</w:t>
      </w:r>
    </w:p>
    <w:p w14:paraId="4CA80434">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_GB2312" w:hAnsi="仿宋_GB2312" w:eastAsia="仿宋_GB2312" w:cs="仿宋_GB2312"/>
          <w:b w:val="0"/>
          <w:bCs w:val="0"/>
          <w:color w:val="auto"/>
          <w:kern w:val="2"/>
          <w:sz w:val="32"/>
          <w:szCs w:val="32"/>
          <w:highlight w:val="none"/>
          <w:lang w:val="en-US" w:eastAsia="zh-CN" w:bidi="ar-SA"/>
        </w:rPr>
        <w:t>为深入贯彻落实行政执法“三项制度”工作要求，结合工作实际，全面推行行政执法公示制度、执法全过程记录制度、重大执法决定法制审核制度，专门召开工作部署会议，</w:t>
      </w:r>
      <w:r>
        <w:rPr>
          <w:rFonts w:hint="eastAsia" w:ascii="仿宋" w:hAnsi="仿宋" w:eastAsia="仿宋" w:cs="仿宋"/>
          <w:color w:val="auto"/>
          <w:sz w:val="32"/>
          <w:szCs w:val="32"/>
          <w:lang w:val="en-US" w:eastAsia="zh-CN"/>
        </w:rPr>
        <w:t>成立了领导小组，制定了具体实施方案和工作措施，落实责任科室和工作职责，积极开展了“三项制度”培训学习和宣传工作，健全行政执法案例指导制度，定期开展了执法案卷自查工作，以促进行政执法公开透明、合法规范为目标，将“三项制度”的落实作为依法行政的重要抓手，持续稳步推进。</w:t>
      </w:r>
    </w:p>
    <w:p w14:paraId="04113165">
      <w:pPr>
        <w:keepNext w:val="0"/>
        <w:keepLines w:val="0"/>
        <w:pageBreakBefore w:val="0"/>
        <w:widowControl w:val="0"/>
        <w:suppressLineNumbers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行政执法公示制度落实情况。依照行政执法信息公示相关规定，依据行政执法公示的要求，在政务服务网全面公布权责清单、投诉举报等信息和服务指南及办事流程。同时在执法信息公示平台及时准确录入数据，修订完善</w:t>
      </w:r>
      <w:r>
        <w:rPr>
          <w:rFonts w:hint="eastAsia" w:ascii="仿宋_GB2312" w:hAnsi="仿宋_GB2312" w:eastAsia="仿宋_GB2312" w:cs="仿宋_GB2312"/>
          <w:b w:val="0"/>
          <w:bCs w:val="0"/>
          <w:color w:val="auto"/>
          <w:sz w:val="32"/>
          <w:szCs w:val="32"/>
          <w:highlight w:val="none"/>
          <w:lang w:val="en-US" w:eastAsia="zh-CN"/>
        </w:rPr>
        <w:t>各</w:t>
      </w:r>
      <w:r>
        <w:rPr>
          <w:rFonts w:hint="eastAsia" w:ascii="仿宋_GB2312" w:hAnsi="仿宋_GB2312" w:eastAsia="仿宋_GB2312" w:cs="仿宋_GB2312"/>
          <w:b w:val="0"/>
          <w:bCs w:val="0"/>
          <w:color w:val="auto"/>
          <w:sz w:val="32"/>
          <w:szCs w:val="32"/>
          <w:highlight w:val="none"/>
          <w:lang w:val="en-US" w:eastAsia="zh-CN"/>
        </w:rPr>
        <w:t>类行政执法全过程记录，明确各个执法环节记录的内容、方式、载体等事项，完善执法信息采集、存储、分析、归档等规范化建设制度。</w:t>
      </w:r>
    </w:p>
    <w:p w14:paraId="110A5312">
      <w:pPr>
        <w:keepNext w:val="0"/>
        <w:keepLines w:val="0"/>
        <w:pageBreakBefore w:val="0"/>
        <w:widowControl w:val="0"/>
        <w:suppressLineNumbers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执法全过程记录制度落实情况。通过文字、拍照等方式，对立案、调查、取证、审查、决定、送达、执行行政执法活动进行记录并归档，实现行政执法行为的全过程留痕管理。一是规范文字记录。以省业务主管部门制的本系统</w:t>
      </w:r>
      <w:r>
        <w:rPr>
          <w:rFonts w:hint="eastAsia" w:ascii="仿宋_GB2312" w:hAnsi="仿宋_GB2312" w:eastAsia="仿宋_GB2312" w:cs="仿宋_GB2312"/>
          <w:b w:val="0"/>
          <w:bCs w:val="0"/>
          <w:color w:val="auto"/>
          <w:sz w:val="32"/>
          <w:szCs w:val="32"/>
          <w:highlight w:val="none"/>
          <w:lang w:val="en-US" w:eastAsia="zh-CN"/>
        </w:rPr>
        <w:t>各</w:t>
      </w:r>
      <w:r>
        <w:rPr>
          <w:rFonts w:hint="eastAsia" w:ascii="仿宋_GB2312" w:hAnsi="仿宋_GB2312" w:eastAsia="仿宋_GB2312" w:cs="仿宋_GB2312"/>
          <w:b w:val="0"/>
          <w:bCs w:val="0"/>
          <w:color w:val="auto"/>
          <w:sz w:val="32"/>
          <w:szCs w:val="32"/>
          <w:highlight w:val="none"/>
          <w:lang w:val="en-US" w:eastAsia="zh-CN"/>
        </w:rPr>
        <w:t>类执法文书范本和电子信息格式为依据，规范开展文字记录工作，并按执法案卷标准制作、管理和保存执法卷宗，积极推行执法文书和执法案卷电子化</w:t>
      </w:r>
    </w:p>
    <w:p w14:paraId="54E43470">
      <w:pPr>
        <w:keepNext w:val="0"/>
        <w:keepLines w:val="0"/>
        <w:pageBreakBefore w:val="0"/>
        <w:widowControl w:val="0"/>
        <w:suppressLineNumbers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3.重大执法决定法制审核有效落实。为保证重大执法决定法制审核落到实处，明确重大执法决定法制审核主体。建立健全政府法律顾问制度，对重大复杂疑难法律事务组织法务部协助进行研究，提出意见建议，充分发挥法务部在法制审核工作中的作用。</w:t>
      </w:r>
    </w:p>
    <w:p w14:paraId="2F7784C7">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（二）落实规范行政处罚自由裁量基准制度。</w:t>
      </w:r>
    </w:p>
    <w:p w14:paraId="233C485E">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_GB2312" w:hAnsi="仿宋_GB2312" w:eastAsia="仿宋_GB2312" w:cs="仿宋_GB2312"/>
          <w:color w:val="auto"/>
          <w:sz w:val="32"/>
          <w:szCs w:val="32"/>
          <w:lang w:val="en-US" w:eastAsia="zh-CN"/>
        </w:rPr>
        <w:t>目前先行有效的文件为贯彻落实《中华人民共和国行政处罚法》及国务院关于建立城市管理行政处罚裁量权基准制度的工作要求，进一步加强组织领导，建立完善执法工作机制，制定《庄河市城市管理行政处罚行政裁量权基准制度（试行）》，共计25 条。进一步细化、量化行政处罚事项裁量标准，规范裁量范围、种类、幅度，促进城市管理实现行政裁量标准制度化，行为规范化，管理科学化，有力提升了城市管理行政执法质量和效能。该文件的制定经过了充分的调研和论证，以确保其科学性和合理性。在制定过程中，根据实际情况进行了多次调整和完善。并且，相关部门已通过官方网站等渠道对其进行了公示，以保障公众的知情权和监督权，促进公正执法，提升行政处罚的规范性和透明度。</w:t>
      </w:r>
    </w:p>
    <w:p w14:paraId="48B86BFC">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（三）完善行政检查程序和行政处罚程序。</w:t>
      </w:r>
    </w:p>
    <w:p w14:paraId="32F44221">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行政处罚行政执法行为实施情况:2024年1月1日至12月31日期间我局办理一般程序行政处罚案件4起，其中城市占道经营类1起、破坏城市绿地类2起、非法收运厨余垃圾类1起。简易行政处罚19起，所有案件均做到事实清楚、证据确凿、程序合法、定性准确、处罚适当、手续完备。</w:t>
      </w:r>
    </w:p>
    <w:p w14:paraId="1447EAD9">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（四）推行行政执法包容审慎监管制度情况。</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38DE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4261" w:type="dxa"/>
          </w:tcPr>
          <w:p w14:paraId="3743F499">
            <w:pPr>
              <w:keepNext w:val="0"/>
              <w:keepLines w:val="0"/>
              <w:pageBreakBefore w:val="0"/>
              <w:numPr>
                <w:ilvl w:val="0"/>
                <w:numId w:val="0"/>
              </w:numPr>
              <w:kinsoku/>
              <w:wordWrap/>
              <w:overflowPunct/>
              <w:topLinePunct w:val="0"/>
              <w:autoSpaceDN/>
              <w:bidi w:val="0"/>
              <w:adjustRightInd/>
              <w:snapToGrid/>
              <w:spacing w:line="600" w:lineRule="exact"/>
              <w:textAlignment w:val="auto"/>
              <w:rPr>
                <w:rFonts w:hint="eastAsia"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四张清单</w:t>
            </w:r>
          </w:p>
        </w:tc>
        <w:tc>
          <w:tcPr>
            <w:tcW w:w="4261" w:type="dxa"/>
          </w:tcPr>
          <w:p w14:paraId="561D7513">
            <w:pPr>
              <w:keepNext w:val="0"/>
              <w:keepLines w:val="0"/>
              <w:pageBreakBefore w:val="0"/>
              <w:numPr>
                <w:ilvl w:val="0"/>
                <w:numId w:val="0"/>
              </w:numPr>
              <w:kinsoku/>
              <w:wordWrap/>
              <w:overflowPunct/>
              <w:topLinePunct w:val="0"/>
              <w:autoSpaceDN/>
              <w:bidi w:val="0"/>
              <w:adjustRightInd/>
              <w:snapToGrid/>
              <w:spacing w:line="600" w:lineRule="exact"/>
              <w:textAlignment w:val="auto"/>
              <w:rPr>
                <w:rFonts w:hint="eastAsia"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数量</w:t>
            </w:r>
          </w:p>
        </w:tc>
      </w:tr>
      <w:tr w14:paraId="0BAF1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4261" w:type="dxa"/>
          </w:tcPr>
          <w:p w14:paraId="1BF07A64">
            <w:pPr>
              <w:keepNext w:val="0"/>
              <w:keepLines w:val="0"/>
              <w:pageBreakBefore w:val="0"/>
              <w:numPr>
                <w:ilvl w:val="0"/>
                <w:numId w:val="0"/>
              </w:numPr>
              <w:kinsoku/>
              <w:wordWrap/>
              <w:overflowPunct/>
              <w:topLinePunct w:val="0"/>
              <w:autoSpaceDN/>
              <w:bidi w:val="0"/>
              <w:adjustRightInd/>
              <w:snapToGrid/>
              <w:spacing w:line="600" w:lineRule="exact"/>
              <w:textAlignment w:val="auto"/>
              <w:rPr>
                <w:rFonts w:hint="eastAsia"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不予行政处罚</w:t>
            </w:r>
          </w:p>
        </w:tc>
        <w:tc>
          <w:tcPr>
            <w:tcW w:w="4261" w:type="dxa"/>
          </w:tcPr>
          <w:p w14:paraId="64E9A2B9">
            <w:pPr>
              <w:keepNext w:val="0"/>
              <w:keepLines w:val="0"/>
              <w:pageBreakBefore w:val="0"/>
              <w:kinsoku/>
              <w:wordWrap/>
              <w:overflowPunct/>
              <w:topLinePunct w:val="0"/>
              <w:autoSpaceDN/>
              <w:bidi w:val="0"/>
              <w:adjustRightInd/>
              <w:snapToGrid/>
              <w:spacing w:line="600" w:lineRule="exact"/>
              <w:jc w:val="center"/>
              <w:textAlignment w:val="auto"/>
              <w:rPr>
                <w:rFonts w:hint="default"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30</w:t>
            </w:r>
          </w:p>
        </w:tc>
      </w:tr>
      <w:tr w14:paraId="3199B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6873C579">
            <w:pPr>
              <w:keepNext w:val="0"/>
              <w:keepLines w:val="0"/>
              <w:pageBreakBefore w:val="0"/>
              <w:numPr>
                <w:ilvl w:val="0"/>
                <w:numId w:val="0"/>
              </w:numPr>
              <w:kinsoku/>
              <w:wordWrap/>
              <w:overflowPunct/>
              <w:topLinePunct w:val="0"/>
              <w:autoSpaceDN/>
              <w:bidi w:val="0"/>
              <w:adjustRightInd/>
              <w:snapToGrid/>
              <w:spacing w:line="600" w:lineRule="exact"/>
              <w:textAlignment w:val="auto"/>
              <w:rPr>
                <w:rFonts w:hint="eastAsia"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从轻行政处罚</w:t>
            </w:r>
          </w:p>
        </w:tc>
        <w:tc>
          <w:tcPr>
            <w:tcW w:w="4261" w:type="dxa"/>
          </w:tcPr>
          <w:p w14:paraId="573407A7">
            <w:pPr>
              <w:keepNext w:val="0"/>
              <w:keepLines w:val="0"/>
              <w:pageBreakBefore w:val="0"/>
              <w:numPr>
                <w:ilvl w:val="0"/>
                <w:numId w:val="0"/>
              </w:numPr>
              <w:tabs>
                <w:tab w:val="left" w:pos="912"/>
              </w:tabs>
              <w:kinsoku/>
              <w:wordWrap/>
              <w:overflowPunct/>
              <w:topLinePunct w:val="0"/>
              <w:autoSpaceDN/>
              <w:bidi w:val="0"/>
              <w:adjustRightInd/>
              <w:snapToGrid/>
              <w:spacing w:line="600" w:lineRule="exact"/>
              <w:jc w:val="center"/>
              <w:textAlignment w:val="auto"/>
              <w:rPr>
                <w:rFonts w:hint="default"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18</w:t>
            </w:r>
          </w:p>
        </w:tc>
      </w:tr>
      <w:tr w14:paraId="5DC8A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79E1EDDD">
            <w:pPr>
              <w:keepNext w:val="0"/>
              <w:keepLines w:val="0"/>
              <w:pageBreakBefore w:val="0"/>
              <w:numPr>
                <w:ilvl w:val="0"/>
                <w:numId w:val="0"/>
              </w:numPr>
              <w:kinsoku/>
              <w:wordWrap/>
              <w:overflowPunct/>
              <w:topLinePunct w:val="0"/>
              <w:autoSpaceDN/>
              <w:bidi w:val="0"/>
              <w:adjustRightInd/>
              <w:snapToGrid/>
              <w:spacing w:line="600" w:lineRule="exact"/>
              <w:textAlignment w:val="auto"/>
              <w:rPr>
                <w:rFonts w:hint="eastAsia"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减轻行政处罚</w:t>
            </w:r>
          </w:p>
        </w:tc>
        <w:tc>
          <w:tcPr>
            <w:tcW w:w="4261" w:type="dxa"/>
          </w:tcPr>
          <w:p w14:paraId="468F68BD">
            <w:pPr>
              <w:keepNext w:val="0"/>
              <w:keepLines w:val="0"/>
              <w:pageBreakBefore w:val="0"/>
              <w:numPr>
                <w:ilvl w:val="0"/>
                <w:numId w:val="0"/>
              </w:numPr>
              <w:kinsoku/>
              <w:wordWrap/>
              <w:overflowPunct/>
              <w:topLinePunct w:val="0"/>
              <w:autoSpaceDN/>
              <w:bidi w:val="0"/>
              <w:adjustRightInd/>
              <w:snapToGrid/>
              <w:spacing w:line="600" w:lineRule="exact"/>
              <w:jc w:val="center"/>
              <w:textAlignment w:val="auto"/>
              <w:rPr>
                <w:rFonts w:hint="default"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30</w:t>
            </w:r>
          </w:p>
        </w:tc>
      </w:tr>
      <w:tr w14:paraId="6701E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5D269EBA">
            <w:pPr>
              <w:keepNext w:val="0"/>
              <w:keepLines w:val="0"/>
              <w:pageBreakBefore w:val="0"/>
              <w:numPr>
                <w:ilvl w:val="0"/>
                <w:numId w:val="0"/>
              </w:numPr>
              <w:kinsoku/>
              <w:wordWrap/>
              <w:overflowPunct/>
              <w:topLinePunct w:val="0"/>
              <w:autoSpaceDN/>
              <w:bidi w:val="0"/>
              <w:adjustRightInd/>
              <w:snapToGrid/>
              <w:spacing w:line="600" w:lineRule="exact"/>
              <w:textAlignment w:val="auto"/>
              <w:rPr>
                <w:rFonts w:hint="eastAsia"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不予行政强制措施</w:t>
            </w:r>
          </w:p>
        </w:tc>
        <w:tc>
          <w:tcPr>
            <w:tcW w:w="4261" w:type="dxa"/>
          </w:tcPr>
          <w:p w14:paraId="27926E7D">
            <w:pPr>
              <w:keepNext w:val="0"/>
              <w:keepLines w:val="0"/>
              <w:pageBreakBefore w:val="0"/>
              <w:numPr>
                <w:ilvl w:val="0"/>
                <w:numId w:val="0"/>
              </w:numPr>
              <w:kinsoku/>
              <w:wordWrap/>
              <w:overflowPunct/>
              <w:topLinePunct w:val="0"/>
              <w:autoSpaceDN/>
              <w:bidi w:val="0"/>
              <w:adjustRightInd/>
              <w:snapToGrid/>
              <w:spacing w:line="600" w:lineRule="exact"/>
              <w:jc w:val="center"/>
              <w:textAlignment w:val="auto"/>
              <w:rPr>
                <w:rFonts w:hint="default" w:ascii="仿宋" w:hAnsi="仿宋" w:eastAsia="仿宋" w:cs="仿宋"/>
                <w:color w:val="auto"/>
                <w:sz w:val="32"/>
                <w:szCs w:val="32"/>
                <w:vertAlign w:val="baseline"/>
                <w:lang w:val="en-US" w:eastAsia="zh-CN"/>
              </w:rPr>
            </w:pPr>
            <w:r>
              <w:rPr>
                <w:rFonts w:hint="eastAsia" w:ascii="仿宋" w:hAnsi="仿宋" w:eastAsia="仿宋" w:cs="仿宋"/>
                <w:color w:val="auto"/>
                <w:sz w:val="32"/>
                <w:szCs w:val="32"/>
                <w:vertAlign w:val="baseline"/>
                <w:lang w:val="en-US" w:eastAsia="zh-CN"/>
              </w:rPr>
              <w:t>0</w:t>
            </w:r>
          </w:p>
        </w:tc>
      </w:tr>
    </w:tbl>
    <w:p w14:paraId="6520CB91">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w:t>
      </w:r>
      <w:r>
        <w:rPr>
          <w:rFonts w:hint="eastAsia" w:ascii="仿宋_GB2312" w:hAnsi="仿宋_GB2312" w:eastAsia="仿宋_GB2312" w:cs="仿宋_GB2312"/>
          <w:color w:val="auto"/>
          <w:sz w:val="32"/>
          <w:szCs w:val="32"/>
          <w:lang w:val="en-US" w:eastAsia="zh-CN"/>
        </w:rPr>
        <w:t>推行“721”工作法：将 70%的问题用服务手段解决、20%的问题用管理手段解决、10%的问题用执法手段解决。对于轻微违法行为，以教育劝导为主，通过耐心宣传法律法规，促使当事人自行整改，让执法既有力度又有温度，有效减少了执法冲突，提升了执法满意度。</w:t>
      </w:r>
    </w:p>
    <w:p w14:paraId="3C598B6E">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（五）组织开展行政执法案卷评查情况。</w:t>
      </w:r>
    </w:p>
    <w:p w14:paraId="641BC3D8">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为了进一步规范行政执法行为，提高行政执法水平，我局组织开展了行政执法案卷评查工作。评查涵盖了多个执法领域，抽取了一定数量的行政执法案卷。评查过程中，严格按照相关标准和程序，对案卷的合法性、规范性、完整性等方面进行了全面细致的审查。通过评查，我们发现了一些优秀的执法案例，同时也指出了部分案卷存在的问题，如证据收集不充分、执法程序不规范等。针对这些问题，我们及时向相关中队进行了反馈，并提出了整改要求和建议。今后，我们将持续开展行政执法案卷评查工作，不断加强对行政执法的监督和指导，推动行政执法工作更加规范、公正、高效。</w:t>
      </w:r>
    </w:p>
    <w:p w14:paraId="471C381D">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（六）行政执法投诉、举报落实情况。</w:t>
      </w:r>
    </w:p>
    <w:p w14:paraId="2FBFCF89">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在行政执法工作中，我们高度重视投诉、举报的落实。设立了专门的渠道接收相关信息，并安排专人负责处理。对于每一起投诉和举报，我们都进行认真登记和深入调查。一旦核实存在问题，立即采取措施予以纠正，并对相关责任人进行严肃处理。同时，及时将处理结果反馈给投诉举报人，确保其知情权。通过积极落实投诉、举报，不断规范行政执法行为，提升执法水平，切实维护人民群众的合法权益。2024年我局大队共接到12345平台举报案件2339件，向本部门直接举报案件2250件，目前已经全部解决。</w:t>
      </w:r>
    </w:p>
    <w:p w14:paraId="4D4B2BE5">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（七）规范行政执法工作宣传情况</w:t>
      </w:r>
    </w:p>
    <w:p w14:paraId="1DD7D286">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为提升公众对规范行政执法工作的认知，营造良好法治环境，宣传活动全面展开。在庄河发布上发表了文章2篇，一篇为关于提升城市日常管理，一篇为</w:t>
      </w:r>
      <w:r>
        <w:rPr>
          <w:rFonts w:hint="eastAsia" w:ascii="仿宋_GB2312" w:hAnsi="仿宋_GB2312" w:eastAsia="仿宋_GB2312" w:cs="仿宋_GB2312"/>
          <w:color w:val="auto"/>
          <w:sz w:val="32"/>
          <w:szCs w:val="32"/>
          <w:lang w:val="en-US" w:eastAsia="zh-CN"/>
        </w:rPr>
        <w:t>秋</w:t>
      </w:r>
      <w:r>
        <w:rPr>
          <w:rFonts w:hint="eastAsia" w:ascii="仿宋_GB2312" w:hAnsi="仿宋_GB2312" w:eastAsia="仿宋_GB2312" w:cs="仿宋_GB2312"/>
          <w:color w:val="auto"/>
          <w:sz w:val="32"/>
          <w:szCs w:val="32"/>
          <w:lang w:val="en-US" w:eastAsia="zh-CN"/>
        </w:rPr>
        <w:t>菜市场的开放与管理的文章。</w:t>
      </w:r>
    </w:p>
    <w:p w14:paraId="0139A065">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（八）集中开展“匡正行政执法理念，整顿行政执法作风”教育活动情况。</w:t>
      </w:r>
    </w:p>
    <w:p w14:paraId="414471BF">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组织行政执法人员参加培训情况：</w:t>
      </w:r>
    </w:p>
    <w:p w14:paraId="1989D82A">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单位积极组织行政执法人员参加专业培训。培训涵盖法律法规解读、执法程序规范等内容，通过专家授课与案例分析结合的方式，提升人员专业素养。执法人员认真学习，互动热烈。此次培训为打造更规范、高效的执法队伍奠定坚实基础。</w:t>
      </w:r>
    </w:p>
    <w:p w14:paraId="1235C0C3">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岗位大练兵、大比武活动：</w:t>
      </w:r>
    </w:p>
    <w:p w14:paraId="2CEDE5F6">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为提高行政执法人员的综合执法能力和应对突发事件的能力，我局城市管理部门开展了一系列的岗位大练兵和大比武活动。通过模拟演练、实战演练等方式，提升行政执法人员的应急处置能力和团队协作能力，增强他们的执行力和服务意识。</w:t>
      </w:r>
    </w:p>
    <w:p w14:paraId="0E6EF79B">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通过以上的活动和制度的开展，城市管理部门取得了显著的成效，行政执法人员的行为规范和作风得到了有效改善，为城市管理工作的顺利进行提供了有力保障。</w:t>
      </w:r>
    </w:p>
    <w:p w14:paraId="1F0ED881">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为确保全省优化营商环境等各项工作在本系统的落实，我局按照市法制办工作部署，严格执行行政检查审批制度。年初制定检查计划，并相应开展实施一定范围内的“双随机、一公开”工作。按照年初计划开展行政检查工作，并将行政检查结果按要求报备。实行了相对独立运行的处罚办案机制，理顺各职能部门职责分工，由承办机构负责案件调查与处理，法规室负责合法性审查和案件报备一级审查，重大行政处罚实行集体讨论制度，确保行政处罚案件合法合规。</w:t>
      </w:r>
    </w:p>
    <w:p w14:paraId="695425D0">
      <w:pPr>
        <w:keepNext w:val="0"/>
        <w:keepLines w:val="0"/>
        <w:pageBreakBefore w:val="0"/>
        <w:kinsoku/>
        <w:wordWrap/>
        <w:overflowPunct/>
        <w:topLinePunct w:val="0"/>
        <w:autoSpaceDN/>
        <w:bidi w:val="0"/>
        <w:adjustRightInd/>
        <w:snapToGrid/>
        <w:spacing w:line="60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二、推进法治政府建设存在的不足和原因</w:t>
      </w:r>
    </w:p>
    <w:p w14:paraId="42F18EB1">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（一）执法力量严重不足，整体执法人员的减少（退休、调离等），却增加了环保执法任务等原因导致。</w:t>
      </w:r>
    </w:p>
    <w:p w14:paraId="56B83D49">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（二）执法人员的公共法律知识、专门法律知识、新法律法规等专题培训不到位。执法能力有待提高。</w:t>
      </w:r>
    </w:p>
    <w:p w14:paraId="62C2A8FF">
      <w:pPr>
        <w:keepNext w:val="0"/>
        <w:keepLines w:val="0"/>
        <w:pageBreakBefore w:val="0"/>
        <w:kinsoku/>
        <w:wordWrap/>
        <w:overflowPunct/>
        <w:topLinePunct w:val="0"/>
        <w:autoSpaceDN/>
        <w:bidi w:val="0"/>
        <w:adjustRightInd/>
        <w:snapToGrid/>
        <w:spacing w:line="60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三、党政主要负责人履行推进法治建设第一责任人职责，加强法治政府建设的有关情况</w:t>
      </w:r>
    </w:p>
    <w:p w14:paraId="385D56F6">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发挥党组的领导核心作用，积极贯彻落实法治政府建设工作部署，我局主要负责同志认真落实“党政主要负责人履行推进法治建设第一责任人职责规定”，成立了法治建设领导小组。充分发挥党组在住建领域法治建设中的领导作用，坚持将法治建设与业务工作同部署、同推进、同督促，统筹协调法治建设工作中的重大问题。认真学习习近平法治思想，及时传达贯彻落实党中央关于法治建设的重大决策部署；将党内法规制度作为党组理论学习中心组学习的重要内容，严格落实党内规范性文件备案审查规定。党组会、局长办公会坚持会前学规学法，及时解决重大问题，将法治建设纳入年度工作计划。党组书记、局长对重要工作</w:t>
      </w:r>
      <w:r>
        <w:rPr>
          <w:rFonts w:hint="eastAsia" w:ascii="仿宋_GB2312" w:hAnsi="仿宋_GB2312" w:eastAsia="仿宋_GB2312" w:cs="仿宋_GB2312"/>
          <w:color w:val="auto"/>
          <w:sz w:val="32"/>
          <w:szCs w:val="32"/>
          <w:lang w:val="en-US" w:eastAsia="zh-CN"/>
        </w:rPr>
        <w:t>亲自</w:t>
      </w:r>
      <w:r>
        <w:rPr>
          <w:rFonts w:hint="eastAsia" w:ascii="仿宋_GB2312" w:hAnsi="仿宋_GB2312" w:eastAsia="仿宋_GB2312" w:cs="仿宋_GB2312"/>
          <w:color w:val="auto"/>
          <w:sz w:val="32"/>
          <w:szCs w:val="32"/>
          <w:lang w:val="en-US" w:eastAsia="zh-CN"/>
        </w:rPr>
        <w:t>部署、重大问题</w:t>
      </w:r>
      <w:r>
        <w:rPr>
          <w:rFonts w:hint="eastAsia" w:ascii="仿宋_GB2312" w:hAnsi="仿宋_GB2312" w:eastAsia="仿宋_GB2312" w:cs="仿宋_GB2312"/>
          <w:color w:val="auto"/>
          <w:sz w:val="32"/>
          <w:szCs w:val="32"/>
          <w:lang w:val="en-US" w:eastAsia="zh-CN"/>
        </w:rPr>
        <w:t>亲自</w:t>
      </w:r>
      <w:r>
        <w:rPr>
          <w:rFonts w:hint="eastAsia" w:ascii="仿宋_GB2312" w:hAnsi="仿宋_GB2312" w:eastAsia="仿宋_GB2312" w:cs="仿宋_GB2312"/>
          <w:color w:val="auto"/>
          <w:sz w:val="32"/>
          <w:szCs w:val="32"/>
          <w:lang w:val="en-US" w:eastAsia="zh-CN"/>
        </w:rPr>
        <w:t>过问、重点环节</w:t>
      </w:r>
      <w:r>
        <w:rPr>
          <w:rFonts w:hint="eastAsia" w:ascii="仿宋_GB2312" w:hAnsi="仿宋_GB2312" w:eastAsia="仿宋_GB2312" w:cs="仿宋_GB2312"/>
          <w:color w:val="auto"/>
          <w:sz w:val="32"/>
          <w:szCs w:val="32"/>
          <w:lang w:val="en-US" w:eastAsia="zh-CN"/>
        </w:rPr>
        <w:t>亲自</w:t>
      </w:r>
      <w:r>
        <w:rPr>
          <w:rFonts w:hint="eastAsia" w:ascii="仿宋_GB2312" w:hAnsi="仿宋_GB2312" w:eastAsia="仿宋_GB2312" w:cs="仿宋_GB2312"/>
          <w:color w:val="auto"/>
          <w:sz w:val="32"/>
          <w:szCs w:val="32"/>
          <w:lang w:val="en-US" w:eastAsia="zh-CN"/>
        </w:rPr>
        <w:t>协调、重要案件亲自督办。还进行了习近平法治思想的宣讲《坚持法治国家、法治政府、法治社会一体化建设》</w:t>
      </w:r>
    </w:p>
    <w:p w14:paraId="369A02AE">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（二）严格依法依规决策，提高制度执行力</w:t>
      </w:r>
    </w:p>
    <w:p w14:paraId="136946F8">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重大行政决策公开征求意见、进行专家论证、风险评估、合法性审查，由领导集体讨论决定并向社会公布后执行。采取法律顾问提前介入提供法律服务的方式，充分发挥法律顾问在法治政府建设中的参谋和智囊团作用。在2024年度中，没有行政诉讼败诉案件，三件民事诉讼案件，均顺利完成，切实发挥了法律顾问的职责作用，保证了行政执法工作的精准度和专业性。</w:t>
      </w:r>
    </w:p>
    <w:p w14:paraId="3953FC9B">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（三）加强法治工作队伍建设，推进法治宣传教育</w:t>
      </w:r>
    </w:p>
    <w:p w14:paraId="074F524E">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严格执行“理论学习中心组集体学法制度”，建立行政机关工作人员应知应会法律法规清单，把法治教育作为工作人员培训的必训内容。先后4次组织全局范围学法学规，落实“谁执法谁普法”责任制，提高普法针对性和实效性。组织行政执法人员参加培训情况：</w:t>
      </w:r>
    </w:p>
    <w:p w14:paraId="26354945">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单位积极组织行政执法人员参加专业培训。培训涵盖法律法规解读、执法程序规范等内容，通过专家授课与案例分析结合的方式，提升人员专业素养。执法人员认真学习，互动热烈。此次培训为打造更规范、高效的执法队伍奠定坚实基础。</w:t>
      </w:r>
    </w:p>
    <w:p w14:paraId="5DECB6C0">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行政执法人员参加考试及证件管理情况：</w:t>
      </w:r>
    </w:p>
    <w:p w14:paraId="194B40C5">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要求所有行政执法证件将要到期的行政执法人员参加相关考试。2024年共参加考试人员77人次，67人及格，确保他们具备执法所需的专业知识和能力。同时，加强对行政执法人员证件的管理，确保证件的合法性和有效性。只有持有合法有效证件的行政执法人员才能参与执法活动。</w:t>
      </w:r>
    </w:p>
    <w:p w14:paraId="14C43980">
      <w:pPr>
        <w:keepNext w:val="0"/>
        <w:keepLines w:val="0"/>
        <w:pageBreakBefore w:val="0"/>
        <w:kinsoku/>
        <w:wordWrap/>
        <w:overflowPunct/>
        <w:topLinePunct w:val="0"/>
        <w:autoSpaceDN/>
        <w:bidi w:val="0"/>
        <w:adjustRightInd/>
        <w:snapToGrid/>
        <w:spacing w:line="60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四、</w:t>
      </w:r>
      <w:r>
        <w:rPr>
          <w:rFonts w:hint="eastAsia" w:ascii="黑体" w:hAnsi="黑体" w:eastAsia="黑体" w:cs="黑体"/>
          <w:color w:val="auto"/>
          <w:sz w:val="32"/>
          <w:szCs w:val="32"/>
          <w:lang w:val="en-US" w:eastAsia="zh-CN"/>
        </w:rPr>
        <w:t>2025</w:t>
      </w:r>
      <w:r>
        <w:rPr>
          <w:rFonts w:hint="eastAsia" w:ascii="黑体" w:hAnsi="黑体" w:eastAsia="黑体" w:cs="黑体"/>
          <w:color w:val="auto"/>
          <w:sz w:val="32"/>
          <w:szCs w:val="32"/>
        </w:rPr>
        <w:t>年度推进法治政府建设的主要安排</w:t>
      </w:r>
    </w:p>
    <w:p w14:paraId="3D8EEBA6">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加强组织领导，建立完善工作机制。进一步健全法治工作机制，高度重视行政执法工作，进一步规范行政裁量权基准制定，完善制度，细化条款，推进行政裁量权实施进程中狠抓落实，确保该项工作顺利推进。</w:t>
      </w:r>
    </w:p>
    <w:p w14:paraId="2451B78F">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进一步夯实执法根基，加强执法队伍建设。严格落实行政执法“三项制度”。加强法律培训，提高执法人员的法治意识和执法能力，进一步探索和创新业务培训机制，确保严格执法、秉公执法、文明执法。进一步完善依法行政制度体系。加强规范性文件管理，严格落实合法性审查以及涉及建筑市场主体经济活动文件的公平竞争审查，确保政策文件制定程序合法有效，防止出台排除、限制公平性竞争的政策措施。按照上位法的立改废情况及工作实际，对已制定实施的制度进行修改完善。</w:t>
      </w:r>
    </w:p>
    <w:p w14:paraId="74DCCC5A">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（二）开展联合执法办案。加强与相关职能部门的协同配合，建立联防联控机制，加大综合执法力度，全面提升执法监管能力，凸显</w:t>
      </w:r>
      <w:r>
        <w:rPr>
          <w:rFonts w:hint="eastAsia" w:ascii="仿宋_GB2312" w:hAnsi="仿宋_GB2312" w:eastAsia="仿宋_GB2312" w:cs="仿宋_GB2312"/>
          <w:color w:val="auto"/>
          <w:sz w:val="32"/>
          <w:szCs w:val="32"/>
          <w:lang w:val="en-US" w:eastAsia="zh-CN"/>
        </w:rPr>
        <w:t>“双随机、一公开”</w:t>
      </w:r>
      <w:r>
        <w:rPr>
          <w:rFonts w:hint="eastAsia" w:ascii="仿宋_GB2312" w:hAnsi="仿宋_GB2312" w:eastAsia="仿宋_GB2312" w:cs="仿宋_GB2312"/>
          <w:color w:val="auto"/>
          <w:sz w:val="32"/>
          <w:szCs w:val="32"/>
          <w:lang w:val="en-US" w:eastAsia="zh-CN"/>
        </w:rPr>
        <w:t>执法效果。</w:t>
      </w:r>
    </w:p>
    <w:p w14:paraId="0BA281CA">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进一步强化对行政权力的监督和制约。以防范复议、诉讼败诉风险为切入点，规范行政处罚案件办理程序，完善执法文书制作，提高执法办案水平，规范行政处罚行为，保证合法、合理实施行政处罚。组织实施行政处罚案卷评查、法制审核等工作，对行政处罚等行政行为进行监督。</w:t>
      </w:r>
    </w:p>
    <w:p w14:paraId="166D5E1E">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加大普法宣传的深度和广度，营造良好法治氛围。认真落实国家机关“谁执法谁普法”普法责任制，确定年度普法重点，开展全方位、多角度、立体化的普法宣传，充分发挥局法治宣传队伍作用，集中力量宣传建筑市场及城市管理等法律法规政策。</w:t>
      </w:r>
    </w:p>
    <w:p w14:paraId="4BC579A4">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p>
    <w:p w14:paraId="7B4A8DA1">
      <w:pPr>
        <w:keepNext w:val="0"/>
        <w:keepLines w:val="0"/>
        <w:pageBreakBefore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p>
    <w:p w14:paraId="1D45A020">
      <w:pPr>
        <w:keepNext w:val="0"/>
        <w:keepLines w:val="0"/>
        <w:pageBreakBefore w:val="0"/>
        <w:numPr>
          <w:ilvl w:val="0"/>
          <w:numId w:val="0"/>
        </w:numPr>
        <w:kinsoku/>
        <w:wordWrap/>
        <w:overflowPunct/>
        <w:topLinePunct w:val="0"/>
        <w:autoSpaceDN/>
        <w:bidi w:val="0"/>
        <w:adjustRightInd/>
        <w:snapToGrid/>
        <w:spacing w:line="600" w:lineRule="exact"/>
        <w:ind w:firstLine="3840" w:firstLineChars="1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庄河市住房和城乡建设局</w:t>
      </w:r>
    </w:p>
    <w:p w14:paraId="039FFF30">
      <w:pPr>
        <w:keepNext w:val="0"/>
        <w:keepLines w:val="0"/>
        <w:pageBreakBefore w:val="0"/>
        <w:numPr>
          <w:ilvl w:val="0"/>
          <w:numId w:val="0"/>
        </w:numPr>
        <w:kinsoku/>
        <w:wordWrap/>
        <w:overflowPunct/>
        <w:topLinePunct w:val="0"/>
        <w:autoSpaceDN/>
        <w:bidi w:val="0"/>
        <w:adjustRightInd/>
        <w:snapToGrid/>
        <w:spacing w:line="600" w:lineRule="exact"/>
        <w:ind w:firstLine="4160" w:firstLineChars="1300"/>
        <w:textAlignment w:val="auto"/>
        <w:rPr>
          <w:color w:val="auto"/>
        </w:rPr>
      </w:pPr>
      <w:r>
        <w:rPr>
          <w:rFonts w:hint="eastAsia" w:ascii="仿宋_GB2312" w:hAnsi="仿宋_GB2312" w:eastAsia="仿宋_GB2312" w:cs="仿宋_GB2312"/>
          <w:color w:val="auto"/>
          <w:sz w:val="32"/>
          <w:szCs w:val="32"/>
          <w:lang w:val="en-US" w:eastAsia="zh-CN"/>
        </w:rPr>
        <w:t>2025年3月7日</w:t>
      </w:r>
    </w:p>
    <w:p w14:paraId="56222494">
      <w:pPr>
        <w:keepNext w:val="0"/>
        <w:keepLines w:val="0"/>
        <w:pageBreakBefore w:val="0"/>
        <w:widowControl/>
        <w:kinsoku w:val="0"/>
        <w:wordWrap/>
        <w:overflowPunct/>
        <w:topLinePunct w:val="0"/>
        <w:autoSpaceDE w:val="0"/>
        <w:autoSpaceDN w:val="0"/>
        <w:bidi w:val="0"/>
        <w:adjustRightInd w:val="0"/>
        <w:snapToGrid w:val="0"/>
        <w:spacing w:line="540" w:lineRule="exact"/>
        <w:ind w:left="0" w:leftChars="0" w:right="0" w:rightChars="0" w:firstLine="640" w:firstLineChars="200"/>
        <w:jc w:val="center"/>
        <w:textAlignment w:val="baseline"/>
        <w:rPr>
          <w:rFonts w:hint="eastAsia" w:ascii="仿宋_GB2312" w:hAnsi="仿宋_GB2312" w:eastAsia="仿宋_GB2312" w:cs="仿宋_GB2312"/>
          <w:color w:val="auto"/>
          <w:sz w:val="32"/>
          <w:szCs w:val="32"/>
          <w:lang w:val="en-US" w:eastAsia="zh-CN"/>
        </w:rPr>
      </w:pPr>
    </w:p>
    <w:sectPr>
      <w:footerReference r:id="rId3" w:type="default"/>
      <w:pgSz w:w="11850" w:h="16783"/>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300DD">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5DE7B8">
                          <w:pPr>
                            <w:pStyle w:val="6"/>
                          </w:pPr>
                          <w: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C5DE7B8">
                    <w:pPr>
                      <w:pStyle w:val="6"/>
                    </w:pPr>
                    <w: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kODhkNTk5ZTMyMjY1YzVlNjhmODcwNDU0MmVjZmUifQ=="/>
  </w:docVars>
  <w:rsids>
    <w:rsidRoot w:val="05E75267"/>
    <w:rsid w:val="0116767F"/>
    <w:rsid w:val="013E3EB1"/>
    <w:rsid w:val="02F22659"/>
    <w:rsid w:val="0467525E"/>
    <w:rsid w:val="04C43448"/>
    <w:rsid w:val="05BD6FE2"/>
    <w:rsid w:val="05E75267"/>
    <w:rsid w:val="07DE460A"/>
    <w:rsid w:val="08B321EC"/>
    <w:rsid w:val="09517393"/>
    <w:rsid w:val="0B844B05"/>
    <w:rsid w:val="0B9F441D"/>
    <w:rsid w:val="0D847589"/>
    <w:rsid w:val="0E8D57A4"/>
    <w:rsid w:val="10770C9A"/>
    <w:rsid w:val="12581D4C"/>
    <w:rsid w:val="13385C98"/>
    <w:rsid w:val="144F21B6"/>
    <w:rsid w:val="150E787D"/>
    <w:rsid w:val="15C260FA"/>
    <w:rsid w:val="166E7A23"/>
    <w:rsid w:val="16D4398C"/>
    <w:rsid w:val="17C37CBE"/>
    <w:rsid w:val="17F23B69"/>
    <w:rsid w:val="18323441"/>
    <w:rsid w:val="186A4AF7"/>
    <w:rsid w:val="1A5F2FF9"/>
    <w:rsid w:val="1A6D69EC"/>
    <w:rsid w:val="1B6A19E1"/>
    <w:rsid w:val="1BFE40A3"/>
    <w:rsid w:val="1C931D87"/>
    <w:rsid w:val="1D393FD2"/>
    <w:rsid w:val="1E763007"/>
    <w:rsid w:val="1F7459F1"/>
    <w:rsid w:val="1F821029"/>
    <w:rsid w:val="203B3726"/>
    <w:rsid w:val="21D426FC"/>
    <w:rsid w:val="22132F83"/>
    <w:rsid w:val="224B418B"/>
    <w:rsid w:val="243078E0"/>
    <w:rsid w:val="24E37BD7"/>
    <w:rsid w:val="253761A6"/>
    <w:rsid w:val="260B7611"/>
    <w:rsid w:val="265F620C"/>
    <w:rsid w:val="2AE632C3"/>
    <w:rsid w:val="2C024853"/>
    <w:rsid w:val="2DA80392"/>
    <w:rsid w:val="2DB931F5"/>
    <w:rsid w:val="2E084850"/>
    <w:rsid w:val="2EE50F00"/>
    <w:rsid w:val="2FAE2171"/>
    <w:rsid w:val="32A6480A"/>
    <w:rsid w:val="337A709E"/>
    <w:rsid w:val="339037F6"/>
    <w:rsid w:val="34820431"/>
    <w:rsid w:val="34A036EB"/>
    <w:rsid w:val="37E21522"/>
    <w:rsid w:val="39456B63"/>
    <w:rsid w:val="39E67EAC"/>
    <w:rsid w:val="3ABF1354"/>
    <w:rsid w:val="3AC4342C"/>
    <w:rsid w:val="3BE65A96"/>
    <w:rsid w:val="3E930722"/>
    <w:rsid w:val="3E960028"/>
    <w:rsid w:val="405A5224"/>
    <w:rsid w:val="408839C6"/>
    <w:rsid w:val="41385CCA"/>
    <w:rsid w:val="425D532E"/>
    <w:rsid w:val="46A05739"/>
    <w:rsid w:val="476C0462"/>
    <w:rsid w:val="47800E61"/>
    <w:rsid w:val="47901133"/>
    <w:rsid w:val="4899341D"/>
    <w:rsid w:val="49ED681F"/>
    <w:rsid w:val="4AB2177A"/>
    <w:rsid w:val="4B9879D8"/>
    <w:rsid w:val="4BED045B"/>
    <w:rsid w:val="4D2E36CD"/>
    <w:rsid w:val="4D35783C"/>
    <w:rsid w:val="5172297F"/>
    <w:rsid w:val="51B71787"/>
    <w:rsid w:val="52927904"/>
    <w:rsid w:val="52EF2D8C"/>
    <w:rsid w:val="52F95784"/>
    <w:rsid w:val="530617C3"/>
    <w:rsid w:val="535F5289"/>
    <w:rsid w:val="53DB31C3"/>
    <w:rsid w:val="541505F1"/>
    <w:rsid w:val="543F26E4"/>
    <w:rsid w:val="547C5F7A"/>
    <w:rsid w:val="54A9774A"/>
    <w:rsid w:val="54EA1089"/>
    <w:rsid w:val="55341C34"/>
    <w:rsid w:val="5591562D"/>
    <w:rsid w:val="57DA7EE9"/>
    <w:rsid w:val="5BB17086"/>
    <w:rsid w:val="60B52B00"/>
    <w:rsid w:val="612F31A5"/>
    <w:rsid w:val="61DE7AE8"/>
    <w:rsid w:val="62374FCB"/>
    <w:rsid w:val="62747182"/>
    <w:rsid w:val="62D13935"/>
    <w:rsid w:val="65141E57"/>
    <w:rsid w:val="65311577"/>
    <w:rsid w:val="66B17447"/>
    <w:rsid w:val="66EC45BC"/>
    <w:rsid w:val="67083AC7"/>
    <w:rsid w:val="6A336F9B"/>
    <w:rsid w:val="6FC745C6"/>
    <w:rsid w:val="703628B2"/>
    <w:rsid w:val="71D74BF0"/>
    <w:rsid w:val="722A762B"/>
    <w:rsid w:val="734F423C"/>
    <w:rsid w:val="74C25F90"/>
    <w:rsid w:val="76180B25"/>
    <w:rsid w:val="77252218"/>
    <w:rsid w:val="772C5186"/>
    <w:rsid w:val="7781527E"/>
    <w:rsid w:val="77CF58C9"/>
    <w:rsid w:val="78997586"/>
    <w:rsid w:val="78A35398"/>
    <w:rsid w:val="78DB3E78"/>
    <w:rsid w:val="7A5A590E"/>
    <w:rsid w:val="7B7B3661"/>
    <w:rsid w:val="7D3322BC"/>
    <w:rsid w:val="7F250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1">
    <w:name w:val="Default Paragraph Font"/>
    <w:link w:val="12"/>
    <w:autoRedefine/>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3"/>
    <w:autoRedefine/>
    <w:qFormat/>
    <w:uiPriority w:val="0"/>
    <w:pPr>
      <w:ind w:firstLine="420" w:firstLineChars="200"/>
    </w:pPr>
  </w:style>
  <w:style w:type="paragraph" w:styleId="3">
    <w:name w:val="Body Text"/>
    <w:basedOn w:val="1"/>
    <w:next w:val="2"/>
    <w:unhideWhenUsed/>
    <w:qFormat/>
    <w:uiPriority w:val="99"/>
    <w:pPr>
      <w:spacing w:after="120"/>
    </w:pPr>
    <w:rPr>
      <w:rFonts w:ascii="Times New Roman" w:hAnsi="Times New Roman" w:eastAsia="宋体" w:cs="Times New Roman"/>
      <w:szCs w:val="24"/>
    </w:rPr>
  </w:style>
  <w:style w:type="paragraph" w:styleId="5">
    <w:name w:val="Body Text Indent"/>
    <w:basedOn w:val="1"/>
    <w:qFormat/>
    <w:uiPriority w:val="0"/>
    <w:pPr>
      <w:widowControl/>
      <w:spacing w:before="100" w:beforeAutospacing="1" w:after="100" w:afterAutospacing="1"/>
      <w:jc w:val="left"/>
    </w:pPr>
    <w:rPr>
      <w:rFonts w:ascii="宋体" w:hAnsi="宋体" w:cs="宋体"/>
      <w:kern w:val="0"/>
      <w:sz w:val="24"/>
      <w:szCs w:val="24"/>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Char Char Char Char Char Char Char"/>
    <w:basedOn w:val="1"/>
    <w:link w:val="11"/>
    <w:qFormat/>
    <w:uiPriority w:val="0"/>
  </w:style>
  <w:style w:type="character" w:styleId="13">
    <w:name w:val="Strong"/>
    <w:basedOn w:val="11"/>
    <w:autoRedefine/>
    <w:qFormat/>
    <w:uiPriority w:val="0"/>
    <w:rPr>
      <w:b/>
    </w:rPr>
  </w:style>
  <w:style w:type="character" w:styleId="14">
    <w:name w:val="page number"/>
    <w:basedOn w:val="11"/>
    <w:autoRedefine/>
    <w:qFormat/>
    <w:uiPriority w:val="0"/>
  </w:style>
  <w:style w:type="paragraph" w:customStyle="1" w:styleId="15">
    <w:name w:val="11111"/>
    <w:basedOn w:val="1"/>
    <w:next w:val="1"/>
    <w:qFormat/>
    <w:uiPriority w:val="99"/>
    <w:pPr>
      <w:spacing w:line="360" w:lineRule="auto"/>
    </w:pPr>
    <w:rPr>
      <w:rFonts w:ascii="宋体" w:hAnsi="宋体" w:cs="宋体"/>
    </w:rPr>
  </w:style>
  <w:style w:type="paragraph" w:customStyle="1" w:styleId="16">
    <w:name w:val="首行缩进"/>
    <w:basedOn w:val="1"/>
    <w:qFormat/>
    <w:uiPriority w:val="0"/>
    <w:pPr>
      <w:ind w:firstLine="480" w:firstLineChars="200"/>
    </w:pPr>
    <w:rPr>
      <w:lang w:val="zh-CN"/>
    </w:rPr>
  </w:style>
  <w:style w:type="paragraph" w:customStyle="1" w:styleId="17">
    <w:name w:val="List Paragraph"/>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4354</Words>
  <Characters>4423</Characters>
  <Lines>0</Lines>
  <Paragraphs>0</Paragraphs>
  <TotalTime>35</TotalTime>
  <ScaleCrop>false</ScaleCrop>
  <LinksUpToDate>false</LinksUpToDate>
  <CharactersWithSpaces>4426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2019-02-26T05:17:00Z</dcterms:created>
  <dc:creator>心有千千洁</dc:creator>
  <cp:lastModifiedBy>奔跑的蜗牛秋</cp:lastModifiedBy>
  <cp:lastPrinted>2025-03-07T02:20:00Z</cp:lastPrinted>
  <dcterms:modified xsi:type="dcterms:W3CDTF">2025-03-28T07:14:45Z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A7F51240E9DA4B5E902373445520834D_13</vt:lpwstr>
  </property>
  <property fmtid="{D5CDD505-2E9C-101B-9397-08002B2CF9AE}" pid="4" name="KSOTemplateDocerSaveRecord">
    <vt:lpwstr>eyJoZGlkIjoiMTMxMzg5Y2EwNWJmZjEyMjA2YTIxN2M4OTU1MmQxYTUiLCJ1c2VySWQiOiI3MzE0MTc2MTIifQ==</vt:lpwstr>
  </property>
</Properties>
</file>