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8933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庄河市交通运输局</w:t>
      </w:r>
    </w:p>
    <w:p w14:paraId="1092C0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年法治政府建设情况报告</w:t>
      </w:r>
    </w:p>
    <w:p w14:paraId="7BE5FB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/>
          <w:color w:val="auto"/>
          <w:sz w:val="44"/>
          <w:szCs w:val="44"/>
        </w:rPr>
      </w:pPr>
    </w:p>
    <w:p w14:paraId="770EA2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</w:rPr>
      </w:pPr>
      <w:r>
        <w:rPr>
          <w:rFonts w:hint="eastAsia" w:ascii="仿宋_GB2312" w:hAnsi="仿宋_GB2312" w:eastAsia="仿宋_GB2312" w:cs="仿宋_GB2312"/>
          <w:color w:val="auto"/>
        </w:rPr>
        <w:t>中共庄河市委、庄河市人民政府：</w:t>
      </w:r>
    </w:p>
    <w:p w14:paraId="3EBE8B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</w:rPr>
      </w:pPr>
      <w:r>
        <w:rPr>
          <w:rFonts w:hint="eastAsia" w:ascii="仿宋_GB2312" w:hAnsi="仿宋_GB2312" w:eastAsia="仿宋_GB2312" w:cs="仿宋_GB2312"/>
          <w:color w:val="auto"/>
        </w:rPr>
        <w:t>2024年，在</w:t>
      </w:r>
      <w:r>
        <w:rPr>
          <w:rFonts w:hint="eastAsia" w:ascii="仿宋_GB2312" w:hAnsi="仿宋_GB2312" w:eastAsia="仿宋_GB2312" w:cs="仿宋_GB2312"/>
          <w:color w:val="auto"/>
          <w:lang w:eastAsia="zh-CN"/>
        </w:rPr>
        <w:t>市</w:t>
      </w:r>
      <w:r>
        <w:rPr>
          <w:rFonts w:hint="eastAsia" w:ascii="仿宋_GB2312" w:hAnsi="仿宋_GB2312" w:eastAsia="仿宋_GB2312" w:cs="仿宋_GB2312"/>
          <w:color w:val="auto"/>
        </w:rPr>
        <w:t>委、</w:t>
      </w:r>
      <w:r>
        <w:rPr>
          <w:rFonts w:hint="eastAsia" w:ascii="仿宋_GB2312" w:hAnsi="仿宋_GB2312" w:eastAsia="仿宋_GB2312" w:cs="仿宋_GB2312"/>
          <w:color w:val="auto"/>
          <w:lang w:eastAsia="zh-CN"/>
        </w:rPr>
        <w:t>市</w:t>
      </w:r>
      <w:r>
        <w:rPr>
          <w:rFonts w:hint="eastAsia" w:ascii="仿宋_GB2312" w:hAnsi="仿宋_GB2312" w:eastAsia="仿宋_GB2312" w:cs="仿宋_GB2312"/>
          <w:color w:val="auto"/>
        </w:rPr>
        <w:t>政府的坚强领导下，</w:t>
      </w:r>
      <w:r>
        <w:rPr>
          <w:rFonts w:hint="eastAsia" w:ascii="仿宋_GB2312" w:hAnsi="仿宋_GB2312" w:eastAsia="仿宋_GB2312" w:cs="仿宋_GB2312"/>
          <w:color w:val="auto"/>
          <w:lang w:eastAsia="zh-CN"/>
        </w:rPr>
        <w:t>庄河市</w:t>
      </w:r>
      <w:r>
        <w:rPr>
          <w:rFonts w:hint="eastAsia" w:ascii="仿宋_GB2312" w:hAnsi="仿宋_GB2312" w:eastAsia="仿宋_GB2312" w:cs="仿宋_GB2312"/>
          <w:color w:val="auto"/>
        </w:rPr>
        <w:t>交通运输局深入贯彻落实法治政府建设各项要求，紧扣依法治</w:t>
      </w:r>
      <w:r>
        <w:rPr>
          <w:rFonts w:hint="eastAsia" w:ascii="仿宋_GB2312" w:hAnsi="仿宋_GB2312" w:eastAsia="仿宋_GB2312" w:cs="仿宋_GB2312"/>
          <w:color w:val="auto"/>
          <w:lang w:eastAsia="zh-CN"/>
        </w:rPr>
        <w:t>市</w:t>
      </w:r>
      <w:r>
        <w:rPr>
          <w:rFonts w:hint="eastAsia" w:ascii="仿宋_GB2312" w:hAnsi="仿宋_GB2312" w:eastAsia="仿宋_GB2312" w:cs="仿宋_GB2312"/>
          <w:color w:val="auto"/>
        </w:rPr>
        <w:t>核心任务，全力提升法治意识和执法能力，持续优化法治环境和服务水平，法治政府建设工作取得显著成效。现将具体情况报告如下：</w:t>
      </w:r>
    </w:p>
    <w:p w14:paraId="578290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jc w:val="both"/>
        <w:textAlignment w:val="auto"/>
        <w:rPr>
          <w:rFonts w:hint="eastAsia" w:ascii="黑体" w:hAnsi="黑体" w:eastAsia="黑体" w:cs="黑体"/>
          <w:color w:val="auto"/>
        </w:rPr>
      </w:pPr>
      <w:r>
        <w:rPr>
          <w:rFonts w:hint="eastAsia" w:ascii="黑体" w:hAnsi="黑体" w:eastAsia="黑体" w:cs="黑体"/>
          <w:color w:val="auto"/>
          <w:lang w:eastAsia="zh-CN"/>
        </w:rPr>
        <w:t>一、</w:t>
      </w:r>
      <w:r>
        <w:rPr>
          <w:rFonts w:hint="eastAsia" w:ascii="黑体" w:hAnsi="黑体" w:eastAsia="黑体" w:cs="黑体"/>
          <w:color w:val="auto"/>
        </w:rPr>
        <w:t>主要工作举措和成效</w:t>
      </w:r>
    </w:p>
    <w:p w14:paraId="29A19B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jc w:val="both"/>
        <w:textAlignment w:val="auto"/>
        <w:rPr>
          <w:rFonts w:hint="eastAsia" w:ascii="楷体_GB2312" w:hAnsi="楷体_GB2312" w:eastAsia="楷体_GB2312" w:cs="楷体_GB2312"/>
          <w:color w:val="auto"/>
        </w:rPr>
      </w:pPr>
      <w:r>
        <w:rPr>
          <w:rFonts w:hint="eastAsia" w:ascii="楷体_GB2312" w:hAnsi="楷体_GB2312" w:eastAsia="楷体_GB2312" w:cs="楷体_GB2312"/>
          <w:color w:val="auto"/>
          <w:lang w:eastAsia="zh-CN"/>
        </w:rPr>
        <w:t>（一）深入</w:t>
      </w:r>
      <w:r>
        <w:rPr>
          <w:rFonts w:hint="eastAsia" w:ascii="楷体_GB2312" w:hAnsi="楷体_GB2312" w:eastAsia="楷体_GB2312" w:cs="楷体_GB2312"/>
          <w:color w:val="auto"/>
        </w:rPr>
        <w:t>学习贯彻习近平法治思想</w:t>
      </w:r>
    </w:p>
    <w:p w14:paraId="00753B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</w:rPr>
        <w:t>将深入学习习近平法治思想重要论述纳入《庄河市交通运输局202</w:t>
      </w:r>
      <w:r>
        <w:rPr>
          <w:rFonts w:hint="eastAsia" w:ascii="仿宋_GB2312" w:hAnsi="仿宋_GB2312" w:eastAsia="仿宋_GB2312" w:cs="仿宋_GB2312"/>
          <w:color w:val="auto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</w:rPr>
        <w:t>年度理论学习中心组学习安排计划》。</w:t>
      </w:r>
      <w:r>
        <w:rPr>
          <w:rFonts w:hint="eastAsia" w:ascii="仿宋_GB2312" w:hAnsi="仿宋_GB2312" w:eastAsia="仿宋_GB2312" w:cs="仿宋_GB2312"/>
          <w:color w:val="auto"/>
          <w:lang w:val="en-US" w:eastAsia="zh-CN"/>
        </w:rPr>
        <w:t>2024年，局党组</w:t>
      </w:r>
      <w:r>
        <w:rPr>
          <w:rFonts w:hint="eastAsia" w:ascii="仿宋_GB2312" w:hAnsi="仿宋_GB2312" w:eastAsia="仿宋_GB2312" w:cs="仿宋_GB2312"/>
          <w:color w:val="auto"/>
        </w:rPr>
        <w:t>理论学习中心组开展习近平法治思想重要论述学习研讨2次</w:t>
      </w:r>
      <w:r>
        <w:rPr>
          <w:rFonts w:hint="eastAsia" w:ascii="仿宋_GB2312" w:hAnsi="仿宋_GB2312" w:eastAsia="仿宋_GB2312" w:cs="仿宋_GB2312"/>
          <w:color w:val="auto"/>
          <w:lang w:eastAsia="zh-CN"/>
        </w:rPr>
        <w:t>，党政主要负责人组织宣讲习近平法治思想</w:t>
      </w:r>
      <w:r>
        <w:rPr>
          <w:rFonts w:hint="eastAsia" w:ascii="仿宋_GB2312" w:hAnsi="仿宋_GB2312" w:eastAsia="仿宋_GB2312" w:cs="仿宋_GB2312"/>
          <w:color w:val="auto"/>
          <w:lang w:val="en-US" w:eastAsia="zh-CN"/>
        </w:rPr>
        <w:t>1次。</w:t>
      </w:r>
    </w:p>
    <w:p w14:paraId="1D943A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jc w:val="both"/>
        <w:textAlignment w:val="auto"/>
        <w:rPr>
          <w:rFonts w:hint="eastAsia" w:ascii="楷体_GB2312" w:hAnsi="楷体_GB2312" w:eastAsia="楷体_GB2312" w:cs="楷体_GB2312"/>
          <w:color w:val="auto"/>
        </w:rPr>
      </w:pPr>
      <w:r>
        <w:rPr>
          <w:rFonts w:hint="eastAsia" w:ascii="楷体_GB2312" w:hAnsi="楷体_GB2312" w:eastAsia="楷体_GB2312" w:cs="楷体_GB2312"/>
          <w:color w:val="auto"/>
          <w:lang w:eastAsia="zh-CN"/>
        </w:rPr>
        <w:t>（二）</w:t>
      </w:r>
      <w:r>
        <w:rPr>
          <w:rFonts w:hint="eastAsia" w:ascii="楷体_GB2312" w:hAnsi="楷体_GB2312" w:eastAsia="楷体_GB2312" w:cs="楷体_GB2312"/>
          <w:color w:val="auto"/>
        </w:rPr>
        <w:t>强化组织领导</w:t>
      </w:r>
    </w:p>
    <w:p w14:paraId="60EDA2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</w:rPr>
      </w:pPr>
      <w:r>
        <w:rPr>
          <w:rFonts w:hint="eastAsia" w:ascii="仿宋_GB2312" w:hAnsi="仿宋_GB2312" w:eastAsia="仿宋_GB2312" w:cs="仿宋_GB2312"/>
          <w:color w:val="auto"/>
        </w:rPr>
        <w:t>局党组高度重视法治政府建设工作，成立由局党组书记、局长担任组长，</w:t>
      </w:r>
      <w:r>
        <w:rPr>
          <w:rFonts w:hint="eastAsia" w:ascii="仿宋_GB2312" w:hAnsi="仿宋_GB2312" w:eastAsia="仿宋_GB2312" w:cs="仿宋_GB2312"/>
          <w:color w:val="auto"/>
          <w:lang w:eastAsia="zh-CN"/>
        </w:rPr>
        <w:t>各</w:t>
      </w:r>
      <w:r>
        <w:rPr>
          <w:rFonts w:hint="eastAsia" w:ascii="仿宋_GB2312" w:hAnsi="仿宋_GB2312" w:eastAsia="仿宋_GB2312" w:cs="仿宋_GB2312"/>
          <w:color w:val="auto"/>
        </w:rPr>
        <w:t>分管领导</w:t>
      </w:r>
      <w:r>
        <w:rPr>
          <w:rFonts w:hint="eastAsia" w:ascii="仿宋_GB2312" w:hAnsi="仿宋_GB2312" w:eastAsia="仿宋_GB2312" w:cs="仿宋_GB2312"/>
          <w:color w:val="auto"/>
          <w:lang w:eastAsia="zh-CN"/>
        </w:rPr>
        <w:t>、局属单位主要负责人</w:t>
      </w:r>
      <w:r>
        <w:rPr>
          <w:rFonts w:hint="eastAsia" w:ascii="仿宋_GB2312" w:hAnsi="仿宋_GB2312" w:eastAsia="仿宋_GB2312" w:cs="仿宋_GB2312"/>
          <w:color w:val="auto"/>
        </w:rPr>
        <w:t>为副组长，</w:t>
      </w:r>
      <w:r>
        <w:rPr>
          <w:rFonts w:hint="eastAsia" w:ascii="仿宋_GB2312" w:hAnsi="仿宋_GB2312" w:eastAsia="仿宋_GB2312" w:cs="仿宋_GB2312"/>
          <w:color w:val="auto"/>
          <w:lang w:eastAsia="zh-CN"/>
        </w:rPr>
        <w:t>各科室负责人及局属单位分管领导</w:t>
      </w:r>
      <w:r>
        <w:rPr>
          <w:rFonts w:hint="eastAsia" w:ascii="仿宋_GB2312" w:hAnsi="仿宋_GB2312" w:eastAsia="仿宋_GB2312" w:cs="仿宋_GB2312"/>
          <w:color w:val="auto"/>
        </w:rPr>
        <w:t>为成员的法治工作领导小组，确保法治建设工作有组织、有领导、有落实。</w:t>
      </w:r>
    </w:p>
    <w:p w14:paraId="0DE6AF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jc w:val="both"/>
        <w:textAlignment w:val="auto"/>
        <w:rPr>
          <w:rFonts w:hint="eastAsia" w:ascii="楷体_GB2312" w:hAnsi="楷体_GB2312" w:eastAsia="楷体_GB2312" w:cs="楷体_GB2312"/>
          <w:color w:val="auto"/>
          <w:lang w:eastAsia="zh-CN"/>
        </w:rPr>
      </w:pPr>
      <w:r>
        <w:rPr>
          <w:rFonts w:hint="eastAsia" w:ascii="楷体_GB2312" w:hAnsi="楷体_GB2312" w:eastAsia="楷体_GB2312" w:cs="楷体_GB2312"/>
          <w:color w:val="auto"/>
          <w:lang w:eastAsia="zh-CN"/>
        </w:rPr>
        <w:t>（三）依法</w:t>
      </w:r>
      <w:r>
        <w:rPr>
          <w:rFonts w:hint="eastAsia" w:ascii="楷体_GB2312" w:hAnsi="楷体_GB2312" w:eastAsia="楷体_GB2312" w:cs="楷体_GB2312"/>
          <w:color w:val="auto"/>
        </w:rPr>
        <w:t>规范</w:t>
      </w:r>
      <w:r>
        <w:rPr>
          <w:rFonts w:hint="eastAsia" w:ascii="楷体_GB2312" w:hAnsi="楷体_GB2312" w:eastAsia="楷体_GB2312" w:cs="楷体_GB2312"/>
          <w:color w:val="auto"/>
          <w:lang w:eastAsia="zh-CN"/>
        </w:rPr>
        <w:t>行政</w:t>
      </w:r>
    </w:p>
    <w:p w14:paraId="06F536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lang w:eastAsia="zh-CN"/>
        </w:rPr>
        <w:t>加强权责清单动态更新管理工作</w:t>
      </w:r>
      <w:r>
        <w:rPr>
          <w:rFonts w:hint="eastAsia" w:ascii="仿宋_GB2312" w:hAnsi="仿宋_GB2312" w:eastAsia="仿宋_GB2312" w:cs="仿宋_GB2312"/>
          <w:color w:val="auto"/>
          <w:lang w:val="en-US" w:eastAsia="zh-CN"/>
        </w:rPr>
        <w:t>,</w:t>
      </w:r>
      <w:r>
        <w:rPr>
          <w:rFonts w:hint="eastAsia" w:ascii="仿宋_GB2312" w:hAnsi="仿宋_GB2312" w:eastAsia="仿宋_GB2312" w:cs="仿宋_GB2312"/>
          <w:color w:val="auto"/>
          <w:lang w:eastAsia="zh-CN"/>
        </w:rPr>
        <w:t>推进本部门权责清单标准化建设，根据法律法规的修订、政府机构改革部门职责调整等情况，申请增加权力事项</w:t>
      </w:r>
      <w:r>
        <w:rPr>
          <w:rFonts w:hint="eastAsia" w:ascii="仿宋_GB2312" w:hAnsi="仿宋_GB2312" w:eastAsia="仿宋_GB2312" w:cs="仿宋_GB2312"/>
          <w:color w:val="auto"/>
          <w:lang w:val="en-US" w:eastAsia="zh-CN"/>
        </w:rPr>
        <w:t>44</w:t>
      </w:r>
      <w:r>
        <w:rPr>
          <w:rFonts w:hint="eastAsia" w:ascii="仿宋_GB2312" w:hAnsi="仿宋_GB2312" w:eastAsia="仿宋_GB2312" w:cs="仿宋_GB2312"/>
          <w:color w:val="auto"/>
          <w:lang w:eastAsia="zh-CN"/>
        </w:rPr>
        <w:t>项，调整权力事项</w:t>
      </w:r>
      <w:r>
        <w:rPr>
          <w:rFonts w:hint="eastAsia" w:ascii="仿宋_GB2312" w:hAnsi="仿宋_GB2312" w:eastAsia="仿宋_GB2312" w:cs="仿宋_GB2312"/>
          <w:color w:val="auto"/>
          <w:lang w:val="en-US" w:eastAsia="zh-CN"/>
        </w:rPr>
        <w:t>49</w:t>
      </w:r>
      <w:r>
        <w:rPr>
          <w:rFonts w:hint="eastAsia" w:ascii="仿宋_GB2312" w:hAnsi="仿宋_GB2312" w:eastAsia="仿宋_GB2312" w:cs="仿宋_GB2312"/>
          <w:color w:val="auto"/>
          <w:lang w:eastAsia="zh-CN"/>
        </w:rPr>
        <w:t>项，删除权力事项</w:t>
      </w:r>
      <w:r>
        <w:rPr>
          <w:rFonts w:hint="eastAsia" w:ascii="仿宋_GB2312" w:hAnsi="仿宋_GB2312" w:eastAsia="仿宋_GB2312" w:cs="仿宋_GB2312"/>
          <w:color w:val="auto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auto"/>
          <w:lang w:eastAsia="zh-CN"/>
        </w:rPr>
        <w:t>项。及时更新调整交通运输行政执法事项清单，形成《庄河市交通运输局行政执法事项清单（202</w:t>
      </w:r>
      <w:r>
        <w:rPr>
          <w:rFonts w:hint="eastAsia" w:ascii="仿宋_GB2312" w:hAnsi="仿宋_GB2312" w:eastAsia="仿宋_GB2312" w:cs="仿宋_GB2312"/>
          <w:color w:val="auto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lang w:eastAsia="zh-CN"/>
        </w:rPr>
        <w:t>年版）》，包含行政许可、行政处罚、行政强制、行政检查等各类行政执法事项共计21</w:t>
      </w:r>
      <w:r>
        <w:rPr>
          <w:rFonts w:hint="eastAsia" w:ascii="仿宋_GB2312" w:hAnsi="仿宋_GB2312" w:eastAsia="仿宋_GB2312" w:cs="仿宋_GB2312"/>
          <w:color w:val="auto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lang w:eastAsia="zh-CN"/>
        </w:rPr>
        <w:t>项。</w:t>
      </w:r>
    </w:p>
    <w:p w14:paraId="0B81C5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lang w:eastAsia="zh-CN"/>
        </w:rPr>
        <w:t>严格执行行政执法“三项制度”。一是不断落实行政执法公示制度，依托“信用中国”网站,对全年办结的行政许可、行政处罚案件及时上网公示。2024年，累计公示行政许可信息349项，公示行政处罚案件173件。二是不断落实执法全过程记录制度，行政执法人员开展行政执法行为时,必须利用执法记录仪进行执法全过程记录，严格落实“一案一光盘”制度。2024年，累计形成行政执法案卷173卷，均刻录光盘存卷归档。三是落实重大案件法制审核制度，严格落实重大执法决定法制审核程序,对以一般程序作出的行政处罚案件全部进行法制审核。2024年，累计审核普通程序行政处罚案件173件。</w:t>
      </w:r>
    </w:p>
    <w:p w14:paraId="659787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jc w:val="both"/>
        <w:textAlignment w:val="auto"/>
        <w:rPr>
          <w:rFonts w:hint="eastAsia" w:ascii="楷体_GB2312" w:hAnsi="楷体_GB2312" w:eastAsia="楷体_GB2312" w:cs="楷体_GB2312"/>
          <w:color w:val="auto"/>
          <w:lang w:eastAsia="zh-CN"/>
        </w:rPr>
      </w:pPr>
      <w:r>
        <w:rPr>
          <w:rFonts w:hint="eastAsia" w:ascii="楷体_GB2312" w:hAnsi="楷体_GB2312" w:eastAsia="楷体_GB2312" w:cs="楷体_GB2312"/>
          <w:color w:val="auto"/>
          <w:lang w:eastAsia="zh-CN"/>
        </w:rPr>
        <w:t>（四）强化行业监管</w:t>
      </w:r>
    </w:p>
    <w:p w14:paraId="087B71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lang w:eastAsia="zh-CN"/>
        </w:rPr>
        <w:t>一是客运市场整治成果显著。联合公安交警、城市管理等部门严厉打击在客运场站、高校、医院、商场等重点区域从事非法经营和冲击客运线路经营的车辆。202</w:t>
      </w:r>
      <w:r>
        <w:rPr>
          <w:rFonts w:hint="eastAsia" w:ascii="仿宋_GB2312" w:hAnsi="仿宋_GB2312" w:eastAsia="仿宋_GB2312" w:cs="仿宋_GB2312"/>
          <w:color w:val="auto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lang w:eastAsia="zh-CN"/>
        </w:rPr>
        <w:t>年，累计查扣非法营运车辆</w:t>
      </w:r>
      <w:r>
        <w:rPr>
          <w:rFonts w:hint="eastAsia" w:ascii="仿宋_GB2312" w:hAnsi="仿宋_GB2312" w:eastAsia="仿宋_GB2312" w:cs="仿宋_GB2312"/>
          <w:color w:val="auto"/>
          <w:lang w:val="en-US" w:eastAsia="zh-CN"/>
        </w:rPr>
        <w:t>251</w:t>
      </w:r>
      <w:r>
        <w:rPr>
          <w:rFonts w:hint="eastAsia" w:ascii="仿宋_GB2312" w:hAnsi="仿宋_GB2312" w:eastAsia="仿宋_GB2312" w:cs="仿宋_GB2312"/>
          <w:color w:val="auto"/>
          <w:lang w:eastAsia="zh-CN"/>
        </w:rPr>
        <w:t>台次。二是“双超”治理工作成绩突出。建立超限超载联合执法长效机制，确保道路行车安全。2024年，路警联合治超120余次，查扣超限超载货运车辆55台（其中百吨王1台），分卸载货物1891.93吨，公安交警部门罚款78300元，共记233分。三是海上联合执法卓有成效。 联合海事、公安、海警等部门开展海陆联合巡查，有力打击各类违法违规摩托艇。2024年，查处各类违法违规摩托艇50艘，其中非法载客摩托艇3艘。四是路域环境整治成绩斐然。开展路域环境净化整治专项行动，清理违规建筑物1处；清理广告条幅牌幌107个、堆占344处、摊床101个；清理占用公路用地违规种植农作物30处；清理违规埋设杆78根；查处违规涉路施工1起；查处路产损坏案件4起，收缴路产赔偿费20236元。</w:t>
      </w:r>
    </w:p>
    <w:p w14:paraId="71ABE6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jc w:val="both"/>
        <w:textAlignment w:val="auto"/>
        <w:rPr>
          <w:rFonts w:hint="eastAsia" w:ascii="楷体_GB2312" w:hAnsi="楷体_GB2312" w:eastAsia="楷体_GB2312" w:cs="楷体_GB2312"/>
          <w:color w:val="auto"/>
          <w:lang w:eastAsia="zh-CN"/>
        </w:rPr>
      </w:pPr>
      <w:r>
        <w:rPr>
          <w:rFonts w:hint="eastAsia" w:ascii="楷体_GB2312" w:hAnsi="楷体_GB2312" w:eastAsia="楷体_GB2312" w:cs="楷体_GB2312"/>
          <w:color w:val="auto"/>
          <w:lang w:eastAsia="zh-CN"/>
        </w:rPr>
        <w:t>（五）优化营商环境</w:t>
      </w:r>
    </w:p>
    <w:p w14:paraId="407429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lang w:eastAsia="zh-CN"/>
        </w:rPr>
        <w:t>全面推行“双随机、一公开”监管，2024 年度发起涉企行政执法检查任务</w:t>
      </w:r>
      <w:r>
        <w:rPr>
          <w:rFonts w:hint="eastAsia" w:ascii="仿宋_GB2312" w:hAnsi="仿宋_GB2312" w:eastAsia="仿宋_GB2312" w:cs="仿宋_GB2312"/>
          <w:color w:val="auto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color w:val="auto"/>
          <w:lang w:eastAsia="zh-CN"/>
        </w:rPr>
        <w:t>次，其中部门联合检查任务</w:t>
      </w:r>
      <w:r>
        <w:rPr>
          <w:rFonts w:hint="eastAsia" w:ascii="仿宋_GB2312" w:hAnsi="仿宋_GB2312" w:eastAsia="仿宋_GB2312" w:cs="仿宋_GB2312"/>
          <w:color w:val="auto"/>
          <w:lang w:val="en-US" w:eastAsia="zh-CN"/>
        </w:rPr>
        <w:t>5次，</w:t>
      </w:r>
      <w:r>
        <w:rPr>
          <w:rFonts w:hint="eastAsia" w:ascii="仿宋_GB2312" w:hAnsi="仿宋_GB2312" w:eastAsia="仿宋_GB2312" w:cs="仿宋_GB2312"/>
          <w:color w:val="auto"/>
          <w:lang w:eastAsia="zh-CN"/>
        </w:rPr>
        <w:t>检查企业</w:t>
      </w:r>
      <w:r>
        <w:rPr>
          <w:rFonts w:hint="eastAsia" w:ascii="仿宋_GB2312" w:hAnsi="仿宋_GB2312" w:eastAsia="仿宋_GB2312" w:cs="仿宋_GB2312"/>
          <w:color w:val="auto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color w:val="auto"/>
          <w:lang w:eastAsia="zh-CN"/>
        </w:rPr>
        <w:t>家，及时将检查结果向社会公示，切实提升行业监管水平，避免多头检查、重复检查，减少对企业正常生产经营活动的干扰，优化交通运输行业营商环境。</w:t>
      </w:r>
    </w:p>
    <w:p w14:paraId="291E6B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lang w:eastAsia="zh-CN"/>
        </w:rPr>
        <w:t>依托“信用中国”网站公示行政许可、行政处罚等日常行政行为，全年发布行政许可信息</w:t>
      </w:r>
      <w:r>
        <w:rPr>
          <w:rFonts w:hint="eastAsia" w:ascii="仿宋_GB2312" w:hAnsi="仿宋_GB2312" w:eastAsia="仿宋_GB2312" w:cs="仿宋_GB2312"/>
          <w:color w:val="auto"/>
          <w:lang w:val="en-US" w:eastAsia="zh-CN"/>
        </w:rPr>
        <w:t>349</w:t>
      </w:r>
      <w:r>
        <w:rPr>
          <w:rFonts w:hint="eastAsia" w:ascii="仿宋_GB2312" w:hAnsi="仿宋_GB2312" w:eastAsia="仿宋_GB2312" w:cs="仿宋_GB2312"/>
          <w:color w:val="auto"/>
          <w:lang w:eastAsia="zh-CN"/>
        </w:rPr>
        <w:t>条，行政处罚信息</w:t>
      </w:r>
      <w:r>
        <w:rPr>
          <w:rFonts w:hint="eastAsia" w:ascii="仿宋_GB2312" w:hAnsi="仿宋_GB2312" w:eastAsia="仿宋_GB2312" w:cs="仿宋_GB2312"/>
          <w:color w:val="auto"/>
          <w:lang w:val="en-US" w:eastAsia="zh-CN"/>
        </w:rPr>
        <w:t>173</w:t>
      </w:r>
      <w:r>
        <w:rPr>
          <w:rFonts w:hint="eastAsia" w:ascii="仿宋_GB2312" w:hAnsi="仿宋_GB2312" w:eastAsia="仿宋_GB2312" w:cs="仿宋_GB2312"/>
          <w:color w:val="auto"/>
          <w:lang w:eastAsia="zh-CN"/>
        </w:rPr>
        <w:t>条，提高执法工作的透明度和公信力。</w:t>
      </w:r>
    </w:p>
    <w:p w14:paraId="112800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lang w:eastAsia="zh-CN"/>
        </w:rPr>
        <w:t>持续推动企业诚信经营，督促辖区内货运企业、客运企业、公交企业做好2023年度质量信誉考核工作，对企业经营管理、安全生产、服务质量以及诚实守信等方面进行综合评价，全市共42家货运企业、4家客运企业、2家公交企业参评。其中，获评AA级普货企业30家，A级普货企业5家；AA级危货企业7家；AA级客运企业3家，AA级客运企业1家；AA级公交企业2家。对信用良好的企业在行政审批、日常监管等方面给予便利，激励企业守法诚信经营，提升行业整体信用水平。</w:t>
      </w:r>
    </w:p>
    <w:p w14:paraId="52DBB2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jc w:val="both"/>
        <w:textAlignment w:val="auto"/>
        <w:rPr>
          <w:rFonts w:hint="eastAsia" w:ascii="楷体_GB2312" w:hAnsi="楷体_GB2312" w:eastAsia="楷体_GB2312" w:cs="楷体_GB2312"/>
          <w:color w:val="auto"/>
          <w:lang w:eastAsia="zh-CN"/>
        </w:rPr>
      </w:pPr>
      <w:r>
        <w:rPr>
          <w:rFonts w:hint="eastAsia" w:ascii="楷体_GB2312" w:hAnsi="楷体_GB2312" w:eastAsia="楷体_GB2312" w:cs="楷体_GB2312"/>
          <w:color w:val="auto"/>
          <w:lang w:eastAsia="zh-CN"/>
        </w:rPr>
        <w:t>（六）加强培训宣传</w:t>
      </w:r>
    </w:p>
    <w:p w14:paraId="624A65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lang w:eastAsia="zh-CN"/>
        </w:rPr>
        <w:t>积极开展综合行政执法人员学习培训工作，将习近平法治思想、宪法、民法典、交通运输法律法规等纳入重点学习内容，借助“法制教育网”“行政执法学习平台”“全国交通运输行政执法综合管理信息系统”，采取“线上+线下”相结合的学习方式，实现行政执法人员学考率100%，年度累计学习时长超过60学时，有效提升交通运输系统行政执法人员的法治意识和法律素养。</w:t>
      </w:r>
    </w:p>
    <w:p w14:paraId="24298D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lang w:eastAsia="zh-CN"/>
        </w:rPr>
        <w:t>紧抓“国家宪法日”“民法典宣传月”“安全生产月”“5.12全国防灾减灾日”等关键时间节点，通过设立宣传展板、发放宣传资料、开展法律咨询等多种形式，向广大群众广泛宣传法律知识，普及法律常识，增强群众的法治观念和法律意识。</w:t>
      </w:r>
    </w:p>
    <w:p w14:paraId="7E726E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jc w:val="both"/>
        <w:textAlignment w:val="auto"/>
        <w:rPr>
          <w:rFonts w:hint="eastAsia" w:ascii="黑体" w:hAnsi="黑体" w:eastAsia="黑体" w:cs="黑体"/>
          <w:color w:val="auto"/>
          <w:lang w:eastAsia="zh-CN"/>
        </w:rPr>
      </w:pPr>
      <w:r>
        <w:rPr>
          <w:rFonts w:hint="eastAsia" w:ascii="黑体" w:hAnsi="黑体" w:eastAsia="黑体" w:cs="黑体"/>
          <w:color w:val="auto"/>
          <w:lang w:eastAsia="zh-CN"/>
        </w:rPr>
        <w:t>二、202</w:t>
      </w:r>
      <w:r>
        <w:rPr>
          <w:rFonts w:hint="eastAsia" w:ascii="黑体" w:hAnsi="黑体" w:eastAsia="黑体" w:cs="黑体"/>
          <w:color w:val="auto"/>
          <w:lang w:val="en-US" w:eastAsia="zh-CN"/>
        </w:rPr>
        <w:t>4</w:t>
      </w:r>
      <w:r>
        <w:rPr>
          <w:rFonts w:hint="eastAsia" w:ascii="黑体" w:hAnsi="黑体" w:eastAsia="黑体" w:cs="黑体"/>
          <w:color w:val="auto"/>
          <w:lang w:eastAsia="zh-CN"/>
        </w:rPr>
        <w:t>年推进法治政府建设存在的不足和原因</w:t>
      </w:r>
    </w:p>
    <w:p w14:paraId="768028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lang w:eastAsia="zh-CN"/>
        </w:rPr>
        <w:t>一是基层执法力量相对薄弱，庄河市交通运输综合行政执法队共有财政全额拨款的事业编制97名，按照2017年底数完成转隶后，目前执法队实有在编人员仅</w:t>
      </w:r>
      <w:r>
        <w:rPr>
          <w:rFonts w:hint="eastAsia" w:ascii="仿宋_GB2312" w:hAnsi="仿宋_GB2312" w:eastAsia="仿宋_GB2312" w:cs="仿宋_GB2312"/>
          <w:color w:val="auto"/>
          <w:lang w:val="en-US" w:eastAsia="zh-CN"/>
        </w:rPr>
        <w:t>46</w:t>
      </w:r>
      <w:r>
        <w:rPr>
          <w:rFonts w:hint="eastAsia" w:ascii="仿宋_GB2312" w:hAnsi="仿宋_GB2312" w:eastAsia="仿宋_GB2312" w:cs="仿宋_GB2312"/>
          <w:color w:val="auto"/>
          <w:lang w:eastAsia="zh-CN"/>
        </w:rPr>
        <w:t>人，且年龄老化严重（50周岁以上</w:t>
      </w:r>
      <w:r>
        <w:rPr>
          <w:rFonts w:hint="eastAsia" w:ascii="仿宋_GB2312" w:hAnsi="仿宋_GB2312" w:eastAsia="仿宋_GB2312" w:cs="仿宋_GB2312"/>
          <w:color w:val="auto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color w:val="auto"/>
          <w:lang w:eastAsia="zh-CN"/>
        </w:rPr>
        <w:t>人）、女性占比较大（女性在编人员</w:t>
      </w:r>
      <w:r>
        <w:rPr>
          <w:rFonts w:hint="eastAsia" w:ascii="仿宋_GB2312" w:hAnsi="仿宋_GB2312" w:eastAsia="仿宋_GB2312" w:cs="仿宋_GB2312"/>
          <w:color w:val="auto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lang w:eastAsia="zh-CN"/>
        </w:rPr>
        <w:t>人）。二是执法保障不足，执法车辆里程数较大、年限久远。</w:t>
      </w:r>
    </w:p>
    <w:p w14:paraId="1A651C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jc w:val="both"/>
        <w:textAlignment w:val="auto"/>
        <w:rPr>
          <w:rFonts w:hint="eastAsia" w:ascii="黑体" w:hAnsi="黑体" w:eastAsia="黑体" w:cs="黑体"/>
          <w:color w:val="auto"/>
          <w:lang w:eastAsia="zh-CN"/>
        </w:rPr>
      </w:pPr>
      <w:r>
        <w:rPr>
          <w:rFonts w:hint="eastAsia" w:ascii="黑体" w:hAnsi="黑体" w:eastAsia="黑体" w:cs="黑体"/>
          <w:color w:val="auto"/>
          <w:lang w:eastAsia="zh-CN"/>
        </w:rPr>
        <w:t>三、党政主要负责人履行推进法治建设第一责任人职责情况</w:t>
      </w:r>
    </w:p>
    <w:p w14:paraId="08E1FB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jc w:val="both"/>
        <w:textAlignment w:val="auto"/>
        <w:rPr>
          <w:rFonts w:hint="eastAsia" w:ascii="楷体_GB2312" w:hAnsi="楷体_GB2312" w:eastAsia="楷体_GB2312" w:cs="楷体_GB2312"/>
          <w:color w:val="auto"/>
          <w:lang w:eastAsia="zh-CN"/>
        </w:rPr>
      </w:pPr>
      <w:r>
        <w:rPr>
          <w:rFonts w:hint="eastAsia" w:ascii="楷体_GB2312" w:hAnsi="楷体_GB2312" w:eastAsia="楷体_GB2312" w:cs="楷体_GB2312"/>
          <w:color w:val="auto"/>
          <w:lang w:eastAsia="zh-CN"/>
        </w:rPr>
        <w:t>（一）夯实法治建设主体责任</w:t>
      </w:r>
    </w:p>
    <w:p w14:paraId="24C690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lang w:eastAsia="zh-CN"/>
        </w:rPr>
        <w:t>成立法治政府建设工作领导小组，带头贯彻学习党的二十大精神和习近平法治思想，通过理论学习中心组专题学习、主要负责人带头宣讲等形式，推进学习贯彻习近平法治思想走深走实。切实履行法治建设第一责任人职责，对法治建设重要工作亲自部署、重大问题过问、重点环节协调、重要任务督办，确保法治建设各项工作落到实处。</w:t>
      </w:r>
    </w:p>
    <w:p w14:paraId="02CE37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jc w:val="both"/>
        <w:textAlignment w:val="auto"/>
        <w:rPr>
          <w:rFonts w:hint="eastAsia" w:ascii="楷体_GB2312" w:hAnsi="楷体_GB2312" w:eastAsia="楷体_GB2312" w:cs="楷体_GB2312"/>
          <w:color w:val="auto"/>
          <w:lang w:eastAsia="zh-CN"/>
        </w:rPr>
      </w:pPr>
      <w:r>
        <w:rPr>
          <w:rFonts w:hint="eastAsia" w:ascii="楷体_GB2312" w:hAnsi="楷体_GB2312" w:eastAsia="楷体_GB2312" w:cs="楷体_GB2312"/>
          <w:color w:val="auto"/>
          <w:lang w:eastAsia="zh-CN"/>
        </w:rPr>
        <w:t>（二）积极推进部门法治建设</w:t>
      </w:r>
    </w:p>
    <w:p w14:paraId="2A0F70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lang w:eastAsia="zh-CN"/>
        </w:rPr>
        <w:t>完善依法行政制度体系，严格落实行政规范性文件合法性审核制度和公平竞争审查制度，贯彻落实行政执法“三项制度”，规范执法流程，提升执法水平，确保执法行为的合法性和规范性；坚定科学民主决策，重大决策实行集体讨论决定，充分发挥法律顾问和公职律师在合同审查、涉法事务处理等方面的重要作用，科学、依法、民主决策水平得到进一步提高；推进政务公开，提高政府工作的透明度和公信力。</w:t>
      </w:r>
    </w:p>
    <w:p w14:paraId="36805A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jc w:val="both"/>
        <w:textAlignment w:val="auto"/>
        <w:rPr>
          <w:rFonts w:hint="eastAsia" w:ascii="楷体_GB2312" w:hAnsi="楷体_GB2312" w:eastAsia="楷体_GB2312" w:cs="楷体_GB2312"/>
          <w:color w:val="auto"/>
          <w:lang w:eastAsia="zh-CN"/>
        </w:rPr>
      </w:pPr>
      <w:r>
        <w:rPr>
          <w:rFonts w:hint="eastAsia" w:ascii="楷体_GB2312" w:hAnsi="楷体_GB2312" w:eastAsia="楷体_GB2312" w:cs="楷体_GB2312"/>
          <w:color w:val="auto"/>
          <w:lang w:eastAsia="zh-CN"/>
        </w:rPr>
        <w:t>（三）加强执法队伍建设</w:t>
      </w:r>
    </w:p>
    <w:p w14:paraId="23EBEC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lang w:eastAsia="zh-CN"/>
        </w:rPr>
        <w:t>以打造高素质的执法队伍为目标，科学制定培训计划，深入学习习近平法治思想、宪法、民法典、交通运输行业法律法规和党内法规，提升行政执法水平。加强行政执法资格管理，严把执法证件发放关，确保执法人员具备合法的执法资格。积极开展案卷评查工作，对全部案卷进行自查，进一步规范执法文书制作，提高执法案卷质量。</w:t>
      </w:r>
    </w:p>
    <w:p w14:paraId="1D2DB1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jc w:val="both"/>
        <w:textAlignment w:val="auto"/>
        <w:rPr>
          <w:rFonts w:hint="eastAsia" w:ascii="楷体_GB2312" w:hAnsi="楷体_GB2312" w:eastAsia="楷体_GB2312" w:cs="楷体_GB2312"/>
          <w:color w:val="auto"/>
          <w:lang w:eastAsia="zh-CN"/>
        </w:rPr>
      </w:pPr>
      <w:r>
        <w:rPr>
          <w:rFonts w:hint="eastAsia" w:ascii="楷体_GB2312" w:hAnsi="楷体_GB2312" w:eastAsia="楷体_GB2312" w:cs="楷体_GB2312"/>
          <w:color w:val="auto"/>
          <w:lang w:eastAsia="zh-CN"/>
        </w:rPr>
        <w:t>（四）提升行业规范化水平</w:t>
      </w:r>
    </w:p>
    <w:p w14:paraId="2C00BA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lang w:eastAsia="zh-CN"/>
        </w:rPr>
        <w:t>开展货运车辆超限超载专项整治，联合公安交警部门开展联合执法，形成执法合力，有效打击超限超载违法行为，保障道路运输安全。开展出租汽车市场专项整治百日行动，严厉打击在营运过程中拒载、议价、途中甩客、故意绕路行驶、未经乘客同意搭载其他乘客、不按规定使用计程计价设备、违规收费、不按照规定出具相应车费票据、不按照规定使用文明用语等行为，规范经营行为，提升服务水平。</w:t>
      </w:r>
    </w:p>
    <w:p w14:paraId="459BA2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jc w:val="both"/>
        <w:textAlignment w:val="auto"/>
        <w:rPr>
          <w:rFonts w:hint="eastAsia" w:ascii="黑体" w:hAnsi="黑体" w:eastAsia="黑体" w:cs="黑体"/>
          <w:color w:val="auto"/>
          <w:lang w:eastAsia="zh-CN"/>
        </w:rPr>
      </w:pPr>
      <w:r>
        <w:rPr>
          <w:rFonts w:hint="eastAsia" w:ascii="黑体" w:hAnsi="黑体" w:eastAsia="黑体" w:cs="黑体"/>
          <w:color w:val="auto"/>
          <w:lang w:eastAsia="zh-CN"/>
        </w:rPr>
        <w:t>四、2025年度推进法治政府建设的主要安排</w:t>
      </w:r>
    </w:p>
    <w:p w14:paraId="4628AF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lang w:eastAsia="zh-CN"/>
        </w:rPr>
      </w:pPr>
      <w:r>
        <w:rPr>
          <w:rFonts w:hint="eastAsia" w:ascii="楷体_GB2312" w:hAnsi="楷体_GB2312" w:eastAsia="楷体_GB2312" w:cs="楷体_GB2312"/>
          <w:color w:val="auto"/>
          <w:lang w:eastAsia="zh-CN"/>
        </w:rPr>
        <w:t>（一）加强学习习近平法治思想。</w:t>
      </w:r>
      <w:r>
        <w:rPr>
          <w:rFonts w:hint="eastAsia" w:ascii="仿宋_GB2312" w:hAnsi="仿宋_GB2312" w:eastAsia="仿宋_GB2312" w:cs="仿宋_GB2312"/>
          <w:color w:val="auto"/>
          <w:lang w:eastAsia="zh-CN"/>
        </w:rPr>
        <w:t>将习近平法治思想作为党组理论学习中心组学习的重点内容，组织专题学习研讨，深入学习习近平法治思想的重大意义、丰富内涵和核心要义，切实把习近平法治思想贯彻落实到法治交通建设全过程和各方面，用以指导和推动交通运输法治政府部门建设工作。</w:t>
      </w:r>
    </w:p>
    <w:p w14:paraId="11C6B5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lang w:eastAsia="zh-CN"/>
        </w:rPr>
      </w:pPr>
      <w:r>
        <w:rPr>
          <w:rFonts w:hint="eastAsia" w:ascii="楷体_GB2312" w:hAnsi="楷体_GB2312" w:eastAsia="楷体_GB2312" w:cs="楷体_GB2312"/>
          <w:color w:val="auto"/>
          <w:lang w:eastAsia="zh-CN"/>
        </w:rPr>
        <w:t>（二）持续加强法治建设组织领导。</w:t>
      </w:r>
      <w:r>
        <w:rPr>
          <w:rFonts w:hint="eastAsia" w:ascii="仿宋_GB2312" w:hAnsi="仿宋_GB2312" w:eastAsia="仿宋_GB2312" w:cs="仿宋_GB2312"/>
          <w:color w:val="auto"/>
          <w:lang w:eastAsia="zh-CN"/>
        </w:rPr>
        <w:t>进一步强化法治建设第一责任人职责，加强对法治建设工作的统筹协调和指导，定期研究解决法治建设工作中的新情况、新问题，确保法治建设各项工作任务落到实处。</w:t>
      </w:r>
    </w:p>
    <w:p w14:paraId="756A593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lang w:eastAsia="zh-CN"/>
        </w:rPr>
      </w:pPr>
      <w:r>
        <w:rPr>
          <w:rFonts w:hint="eastAsia" w:ascii="楷体_GB2312" w:hAnsi="楷体_GB2312" w:eastAsia="楷体_GB2312" w:cs="楷体_GB2312"/>
          <w:color w:val="auto"/>
          <w:lang w:eastAsia="zh-CN"/>
        </w:rPr>
        <w:t>（三）持续不断提升依法行政水平。</w:t>
      </w:r>
      <w:r>
        <w:rPr>
          <w:rFonts w:hint="eastAsia" w:ascii="仿宋_GB2312" w:hAnsi="仿宋_GB2312" w:eastAsia="仿宋_GB2312" w:cs="仿宋_GB2312"/>
          <w:color w:val="auto"/>
          <w:lang w:eastAsia="zh-CN"/>
        </w:rPr>
        <w:t>加强行政执法规范化建设，认真贯彻落实行政执法“三项制度”，加强执法人员的业务培训，不断提高执法人员综合素质能力，提升执法水平和执法质量。</w:t>
      </w:r>
    </w:p>
    <w:p w14:paraId="1E5A3A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lang w:eastAsia="zh-CN"/>
        </w:rPr>
      </w:pPr>
      <w:r>
        <w:rPr>
          <w:rFonts w:hint="eastAsia" w:ascii="楷体_GB2312" w:hAnsi="楷体_GB2312" w:eastAsia="楷体_GB2312" w:cs="楷体_GB2312"/>
          <w:color w:val="auto"/>
          <w:lang w:eastAsia="zh-CN"/>
        </w:rPr>
        <w:t>（四）深入推进法治宣传教育工作。</w:t>
      </w:r>
      <w:r>
        <w:rPr>
          <w:rFonts w:hint="eastAsia" w:ascii="仿宋_GB2312" w:hAnsi="仿宋_GB2312" w:eastAsia="仿宋_GB2312" w:cs="仿宋_GB2312"/>
          <w:color w:val="auto"/>
          <w:lang w:eastAsia="zh-CN"/>
        </w:rPr>
        <w:t>持续加大法治宣传教育力度，创新法治宣传教育方式方法，提高法治宣传教育的针对性和实效性，增强交通运输从业人员和广大人民群众法治意识，为交通运输法治政府建设营造浓厚的法制氛围。</w:t>
      </w:r>
    </w:p>
    <w:p w14:paraId="64F239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lang w:eastAsia="zh-CN"/>
        </w:rPr>
      </w:pPr>
    </w:p>
    <w:p w14:paraId="563222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lang w:eastAsia="zh-CN"/>
        </w:rPr>
      </w:pPr>
    </w:p>
    <w:p w14:paraId="417414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lang w:eastAsia="zh-CN"/>
        </w:rPr>
      </w:pPr>
    </w:p>
    <w:p w14:paraId="0CAD7F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lang w:eastAsia="zh-CN"/>
        </w:rPr>
      </w:pPr>
    </w:p>
    <w:p w14:paraId="31F9CF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372" w:firstLineChars="1700"/>
        <w:jc w:val="both"/>
        <w:textAlignment w:val="auto"/>
        <w:rPr>
          <w:rFonts w:hint="eastAsia" w:ascii="仿宋_GB2312" w:hAnsi="仿宋_GB2312" w:eastAsia="仿宋_GB2312" w:cs="仿宋_GB2312"/>
          <w:color w:val="auto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lang w:eastAsia="zh-CN"/>
        </w:rPr>
        <w:t>庄河市交通运输局</w:t>
      </w:r>
    </w:p>
    <w:p w14:paraId="0DAEDC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372" w:firstLineChars="1700"/>
        <w:jc w:val="both"/>
        <w:textAlignment w:val="auto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2025年1月17日</w:t>
      </w:r>
    </w:p>
    <w:p w14:paraId="0D0933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lang w:val="en-US" w:eastAsia="zh-CN"/>
        </w:rPr>
      </w:pPr>
    </w:p>
    <w:p w14:paraId="26BAE22C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 w:val="0"/>
          <w:bCs/>
          <w:lang w:eastAsia="zh-CN"/>
        </w:rPr>
      </w:pPr>
      <w:r>
        <w:rPr>
          <w:rFonts w:ascii="仿宋_GB2312" w:eastAsia="仿宋_GB2312"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34290</wp:posOffset>
                </wp:positionV>
                <wp:extent cx="5544185" cy="635"/>
                <wp:effectExtent l="0" t="0" r="0" b="0"/>
                <wp:wrapNone/>
                <wp:docPr id="4" name="直线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44185" cy="635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6" o:spid="_x0000_s1026" o:spt="20" style="position:absolute;left:0pt;margin-left:0pt;margin-top:2.7pt;height:0.05pt;width:436.55pt;z-index:251662336;mso-width-relative:page;mso-height-relative:page;" filled="f" stroked="t" coordsize="21600,21600" o:gfxdata="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TkGXANQA&#10;AAAEAQAADwAAAAAAAAABACAAAAAiAAAAZHJzL2Rvd25yZXYueG1sUEsBAhQAFAAAAAgAh07iQLRD&#10;zcnqAQAA3gMAAA4AAAAAAAAAAQAgAAAAIwEAAGRycy9lMm9Eb2MueG1sUEsFBgAAAAAGAAYAWQEA&#10;AH8FAAAAAA==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  <w:b w:val="0"/>
          <w:bCs/>
          <w:lang w:eastAsia="zh-CN"/>
        </w:rPr>
        <w:t>抄送：中共庄河市委依法治市办公室</w:t>
      </w:r>
    </w:p>
    <w:p w14:paraId="3AE9C8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/>
          <w:lang w:eastAsia="zh-CN"/>
        </w:rPr>
      </w:pPr>
      <w:r>
        <w:rPr>
          <w:rFonts w:ascii="仿宋_GB2312" w:eastAsia="仿宋_GB2312"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38100</wp:posOffset>
                </wp:positionV>
                <wp:extent cx="5544185" cy="635"/>
                <wp:effectExtent l="0" t="0" r="0" b="0"/>
                <wp:wrapNone/>
                <wp:docPr id="3" name="直线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44185" cy="635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6" o:spid="_x0000_s1026" o:spt="20" style="position:absolute;left:0pt;margin-left:0.75pt;margin-top:3pt;height:0.05pt;width:436.55pt;z-index:251661312;mso-width-relative:page;mso-height-relative:page;" filled="f" stroked="t" coordsize="21600,21600" o:gfxdata="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+fPrA9QA&#10;AAAFAQAADwAAAAAAAAABACAAAAAiAAAAZHJzL2Rvd25yZXYueG1sUEsBAhQAFAAAAAgAh07iQICu&#10;FuLqAQAA3gMAAA4AAAAAAAAAAQAgAAAAIwEAAGRycy9lMm9Eb2MueG1sUEsFBgAAAAAGAAYAWQEA&#10;AH8FAAAAAA==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仿宋_GB2312" w:eastAsia="仿宋_GB2312"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400050</wp:posOffset>
                </wp:positionV>
                <wp:extent cx="5600700" cy="635"/>
                <wp:effectExtent l="0" t="0" r="0" b="0"/>
                <wp:wrapNone/>
                <wp:docPr id="2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00700" cy="635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margin-left:0pt;margin-top:31.5pt;height:0.05pt;width:441pt;z-index:251660288;mso-width-relative:page;mso-height-relative:page;" filled="f" stroked="t" coordsize="21600,21600" o:gfxdata="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GrLEZ9UA&#10;AAAGAQAADwAAAAAAAAABACAAAAAiAAAAZHJzL2Rvd25yZXYueG1sUEsBAhQAFAAAAAgAh07iQGCl&#10;pwXpAQAA3gMAAA4AAAAAAAAAAQAgAAAAJAEAAGRycy9lMm9Eb2MueG1sUEsFBgAAAAAGAAYAWQEA&#10;AH8FAAAAAA==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color w:val="000000"/>
          <w:sz w:val="32"/>
          <w:szCs w:val="32"/>
        </w:rPr>
        <w:t>庄河市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交通运输局</w:t>
      </w:r>
      <w:r>
        <w:rPr>
          <w:rFonts w:hint="eastAsia" w:ascii="仿宋_GB2312" w:eastAsia="仿宋_GB2312"/>
          <w:color w:val="000000"/>
          <w:sz w:val="32"/>
          <w:szCs w:val="32"/>
        </w:rPr>
        <w:t xml:space="preserve">办公室              </w:t>
      </w:r>
      <w:r>
        <w:rPr>
          <w:rFonts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月1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日印发</w:t>
      </w:r>
    </w:p>
    <w:sectPr>
      <w:footerReference r:id="rId3" w:type="default"/>
      <w:pgSz w:w="11906" w:h="16838"/>
      <w:pgMar w:top="2211" w:right="1531" w:bottom="1871" w:left="1531" w:header="851" w:footer="992" w:gutter="0"/>
      <w:pgNumType w:fmt="decimal"/>
      <w:cols w:space="0" w:num="1"/>
      <w:rtlGutter w:val="0"/>
      <w:docGrid w:type="linesAndChars" w:linePitch="579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GulimChe">
    <w:panose1 w:val="020B0609000101010101"/>
    <w:charset w:val="81"/>
    <w:family w:val="modern"/>
    <w:pitch w:val="default"/>
    <w:sig w:usb0="B00002AF" w:usb1="69D77CFB" w:usb2="00000030" w:usb3="00000000" w:csb0="4008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05E5F5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94757C5">
                          <w:pPr>
                            <w:pStyle w:val="3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t>—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sz w:val="24"/>
                              <w:szCs w:val="24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94757C5">
                    <w:pPr>
                      <w:pStyle w:val="3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>—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sz w:val="24"/>
                        <w:szCs w:val="24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documentProtection w:enforcement="0"/>
  <w:defaultTabStop w:val="420"/>
  <w:drawingGridHorizontalSpacing w:val="158"/>
  <w:drawingGridVerticalSpacing w:val="290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5B6574"/>
    <w:rsid w:val="0A1A140C"/>
    <w:rsid w:val="18B4260E"/>
    <w:rsid w:val="25505FF3"/>
    <w:rsid w:val="32FA3D76"/>
    <w:rsid w:val="393A3157"/>
    <w:rsid w:val="431E7646"/>
    <w:rsid w:val="4AA91DA6"/>
    <w:rsid w:val="594E5334"/>
    <w:rsid w:val="5C502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Ascii" w:hAnsiTheme="minorAscii" w:eastAsiaTheme="minorEastAsia" w:cstheme="minorBidi"/>
      <w:kern w:val="2"/>
      <w:sz w:val="32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Lines="0" w:beforeAutospacing="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3256</Words>
  <Characters>3383</Characters>
  <Lines>0</Lines>
  <Paragraphs>0</Paragraphs>
  <TotalTime>130</TotalTime>
  <ScaleCrop>false</ScaleCrop>
  <LinksUpToDate>false</LinksUpToDate>
  <CharactersWithSpaces>3415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2025-01-15T00:37:00Z</dcterms:created>
  <dc:creator>Administrator</dc:creator>
  <cp:lastModifiedBy>gf</cp:lastModifiedBy>
  <dcterms:modified xsi:type="dcterms:W3CDTF">2025-03-28T06:06:10Z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eyJoZGlkIjoiZjJlYTA2ZmUzZDNhMzc0YzE5YWU5YTM1MGY5MWI5N2QifQ==</vt:lpwstr>
  </property>
  <property fmtid="{D5CDD505-2E9C-101B-9397-08002B2CF9AE}" pid="4" name="ICV">
    <vt:lpwstr>B592E798BB074BF2BEF30D480A12E36E_12</vt:lpwstr>
  </property>
</Properties>
</file>