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A1EC5">
      <w:pPr>
        <w:spacing w:line="600" w:lineRule="exact"/>
        <w:jc w:val="center"/>
        <w:rPr>
          <w:rFonts w:hint="eastAsia" w:ascii="黑体" w:hAnsi="黑体" w:eastAsia="黑体"/>
          <w:b w:val="0"/>
          <w:bCs w:val="0"/>
          <w:sz w:val="36"/>
        </w:rPr>
      </w:pPr>
      <w:bookmarkStart w:id="7" w:name="_GoBack"/>
      <w:r>
        <w:rPr>
          <w:rFonts w:hint="eastAsia" w:ascii="黑体" w:hAnsi="黑体" w:eastAsia="黑体"/>
          <w:b w:val="0"/>
          <w:bCs w:val="0"/>
          <w:sz w:val="36"/>
        </w:rPr>
        <w:t>庄河市吴炉镇英烈士村村庄规划（2021-2035年）</w:t>
      </w:r>
    </w:p>
    <w:bookmarkEnd w:id="7"/>
    <w:p w14:paraId="4688462D">
      <w:pPr>
        <w:spacing w:line="600" w:lineRule="exact"/>
        <w:rPr>
          <w:rFonts w:hint="eastAsia" w:ascii="黑体" w:hAnsi="黑体" w:eastAsia="黑体"/>
          <w:b/>
          <w:bCs/>
          <w:sz w:val="32"/>
        </w:rPr>
      </w:pPr>
    </w:p>
    <w:p w14:paraId="6CFD6C33">
      <w:pPr>
        <w:spacing w:line="600" w:lineRule="exact"/>
        <w:rPr>
          <w:rFonts w:hint="eastAsia" w:ascii="黑体" w:hAnsi="黑体" w:eastAsia="黑体"/>
          <w:b/>
          <w:bCs/>
          <w:sz w:val="32"/>
        </w:rPr>
      </w:pPr>
      <w:r>
        <w:rPr>
          <w:rFonts w:hint="eastAsia" w:ascii="黑体" w:hAnsi="黑体" w:eastAsia="黑体"/>
          <w:b/>
          <w:bCs/>
          <w:sz w:val="32"/>
        </w:rPr>
        <w:t>一、基本情况</w:t>
      </w:r>
    </w:p>
    <w:p w14:paraId="512CE167">
      <w:pPr>
        <w:spacing w:line="600" w:lineRule="exact"/>
        <w:ind w:firstLine="640" w:firstLineChars="200"/>
        <w:rPr>
          <w:rFonts w:hint="eastAsia" w:ascii="仿宋" w:hAnsi="仿宋" w:eastAsia="仿宋"/>
          <w:sz w:val="32"/>
        </w:rPr>
      </w:pPr>
      <w:r>
        <w:rPr>
          <w:rFonts w:hint="eastAsia" w:ascii="仿宋" w:hAnsi="仿宋" w:eastAsia="仿宋"/>
          <w:sz w:val="32"/>
        </w:rPr>
        <w:t>1.区域位置</w:t>
      </w:r>
    </w:p>
    <w:p w14:paraId="6266A66A">
      <w:pPr>
        <w:spacing w:line="600" w:lineRule="exact"/>
        <w:ind w:firstLine="480"/>
        <w:rPr>
          <w:rFonts w:hint="eastAsia" w:ascii="仿宋" w:hAnsi="仿宋" w:eastAsia="仿宋"/>
          <w:sz w:val="32"/>
        </w:rPr>
      </w:pPr>
      <w:r>
        <w:rPr>
          <w:rFonts w:hint="eastAsia" w:ascii="仿宋" w:hAnsi="仿宋" w:eastAsia="仿宋"/>
          <w:sz w:val="32"/>
        </w:rPr>
        <w:t>英烈士村位于庄河市中东部、吴炉镇南部，紧邻吴炉镇区，英烈士村通过英楼线联系北部国道G201线，对外交通便利。</w:t>
      </w:r>
    </w:p>
    <w:p w14:paraId="66F9C7B6">
      <w:pPr>
        <w:spacing w:line="600" w:lineRule="exact"/>
        <w:ind w:firstLine="640" w:firstLineChars="200"/>
        <w:rPr>
          <w:rFonts w:hint="eastAsia" w:ascii="仿宋" w:hAnsi="仿宋" w:eastAsia="仿宋"/>
          <w:sz w:val="32"/>
        </w:rPr>
      </w:pPr>
      <w:r>
        <w:rPr>
          <w:rFonts w:hint="eastAsia" w:ascii="仿宋" w:hAnsi="仿宋" w:eastAsia="仿宋"/>
          <w:sz w:val="32"/>
        </w:rPr>
        <w:t>2.规划</w:t>
      </w:r>
      <w:r>
        <w:rPr>
          <w:rFonts w:ascii="仿宋" w:hAnsi="仿宋" w:eastAsia="仿宋"/>
          <w:sz w:val="32"/>
        </w:rPr>
        <w:t>范围</w:t>
      </w:r>
    </w:p>
    <w:p w14:paraId="258D8134">
      <w:pPr>
        <w:spacing w:line="600" w:lineRule="exact"/>
        <w:ind w:firstLine="640" w:firstLineChars="200"/>
        <w:rPr>
          <w:rFonts w:hint="eastAsia" w:ascii="仿宋" w:hAnsi="仿宋" w:eastAsia="仿宋"/>
          <w:sz w:val="32"/>
        </w:rPr>
      </w:pPr>
      <w:r>
        <w:rPr>
          <w:rFonts w:hint="eastAsia" w:ascii="仿宋" w:hAnsi="仿宋" w:eastAsia="仿宋"/>
          <w:sz w:val="32"/>
        </w:rPr>
        <w:t>规划范围为吴炉镇英烈士村全域国土空间，北部与吴炉村接壤，南邻桥上村、元和村，东邻平山村，西临三尖泡村，总规划面积为840.62公顷。</w:t>
      </w:r>
    </w:p>
    <w:p w14:paraId="2CEA96B0">
      <w:pPr>
        <w:spacing w:line="600" w:lineRule="exact"/>
        <w:ind w:firstLine="640" w:firstLineChars="200"/>
        <w:rPr>
          <w:rFonts w:hint="eastAsia" w:ascii="仿宋" w:hAnsi="仿宋" w:eastAsia="仿宋"/>
          <w:sz w:val="32"/>
        </w:rPr>
      </w:pPr>
      <w:r>
        <w:rPr>
          <w:rFonts w:hint="eastAsia" w:ascii="仿宋" w:hAnsi="仿宋" w:eastAsia="仿宋"/>
          <w:sz w:val="32"/>
        </w:rPr>
        <w:t>3.规划期限</w:t>
      </w:r>
    </w:p>
    <w:p w14:paraId="5982A18A">
      <w:pPr>
        <w:spacing w:line="600" w:lineRule="exact"/>
        <w:ind w:firstLine="640" w:firstLineChars="200"/>
        <w:rPr>
          <w:rFonts w:hint="eastAsia" w:ascii="仿宋" w:hAnsi="仿宋" w:eastAsia="仿宋"/>
          <w:sz w:val="32"/>
        </w:rPr>
      </w:pPr>
      <w:bookmarkStart w:id="0" w:name="_Hlk204917364"/>
      <w:r>
        <w:rPr>
          <w:rFonts w:ascii="仿宋" w:hAnsi="仿宋" w:eastAsia="仿宋"/>
          <w:sz w:val="32"/>
        </w:rPr>
        <w:t>规划基期2020年，近期至2025年，远期至2035年。</w:t>
      </w:r>
      <w:bookmarkEnd w:id="0"/>
    </w:p>
    <w:p w14:paraId="28AEABE6">
      <w:pPr>
        <w:spacing w:line="600" w:lineRule="exact"/>
        <w:rPr>
          <w:rFonts w:hint="eastAsia" w:ascii="黑体" w:hAnsi="黑体" w:eastAsia="黑体"/>
          <w:b/>
          <w:bCs/>
          <w:sz w:val="32"/>
        </w:rPr>
      </w:pPr>
      <w:r>
        <w:rPr>
          <w:rFonts w:hint="eastAsia" w:ascii="黑体" w:hAnsi="黑体" w:eastAsia="黑体"/>
          <w:b/>
          <w:bCs/>
          <w:sz w:val="32"/>
        </w:rPr>
        <w:t>二、国土空间管控</w:t>
      </w:r>
    </w:p>
    <w:p w14:paraId="5A03240E">
      <w:pPr>
        <w:spacing w:line="600" w:lineRule="exact"/>
        <w:ind w:firstLine="640" w:firstLineChars="200"/>
        <w:rPr>
          <w:rFonts w:hint="eastAsia" w:ascii="仿宋" w:hAnsi="仿宋" w:eastAsia="仿宋"/>
          <w:sz w:val="32"/>
        </w:rPr>
      </w:pPr>
      <w:r>
        <w:rPr>
          <w:rFonts w:hint="eastAsia" w:ascii="仿宋" w:hAnsi="仿宋" w:eastAsia="仿宋"/>
          <w:sz w:val="32"/>
        </w:rPr>
        <w:t>落实《庄河市吴炉镇国土空间总体规划（2021-2035年）》空间管控内容，明确英烈士村</w:t>
      </w:r>
      <w:r>
        <w:rPr>
          <w:rFonts w:ascii="仿宋" w:hAnsi="仿宋" w:eastAsia="仿宋"/>
          <w:sz w:val="32"/>
        </w:rPr>
        <w:t>定位为</w:t>
      </w:r>
      <w:r>
        <w:rPr>
          <w:rFonts w:hint="eastAsia" w:ascii="仿宋" w:hAnsi="仿宋" w:eastAsia="仿宋"/>
          <w:sz w:val="32"/>
        </w:rPr>
        <w:t>整治提升类</w:t>
      </w:r>
      <w:r>
        <w:rPr>
          <w:rFonts w:ascii="仿宋" w:hAnsi="仿宋" w:eastAsia="仿宋"/>
          <w:sz w:val="32"/>
        </w:rPr>
        <w:t>村庄</w:t>
      </w:r>
      <w:r>
        <w:rPr>
          <w:rFonts w:hint="eastAsia" w:ascii="仿宋" w:hAnsi="仿宋" w:eastAsia="仿宋"/>
          <w:sz w:val="32"/>
        </w:rPr>
        <w:t>，至2035年乡村常住人口约800人。</w:t>
      </w:r>
      <w:r>
        <w:rPr>
          <w:rFonts w:ascii="仿宋" w:hAnsi="仿宋" w:eastAsia="仿宋"/>
          <w:sz w:val="32"/>
        </w:rPr>
        <w:t>约束性指标包括：永久基本农田面积</w:t>
      </w:r>
      <w:r>
        <w:rPr>
          <w:rFonts w:hint="eastAsia" w:ascii="仿宋" w:hAnsi="仿宋" w:eastAsia="仿宋"/>
          <w:sz w:val="32"/>
        </w:rPr>
        <w:t>≥528.71公顷</w:t>
      </w:r>
      <w:r>
        <w:rPr>
          <w:rFonts w:ascii="仿宋" w:hAnsi="仿宋" w:eastAsia="仿宋"/>
          <w:sz w:val="32"/>
        </w:rPr>
        <w:t>，耕地保有量</w:t>
      </w:r>
      <w:r>
        <w:rPr>
          <w:rFonts w:hint="eastAsia" w:ascii="仿宋" w:hAnsi="仿宋" w:eastAsia="仿宋"/>
          <w:sz w:val="32"/>
        </w:rPr>
        <w:t>≥570.16</w:t>
      </w:r>
      <w:r>
        <w:rPr>
          <w:rFonts w:ascii="仿宋" w:hAnsi="仿宋" w:eastAsia="仿宋"/>
          <w:sz w:val="32"/>
        </w:rPr>
        <w:t>公顷，湿地面积</w:t>
      </w:r>
      <w:r>
        <w:rPr>
          <w:rFonts w:hint="eastAsia" w:ascii="仿宋" w:hAnsi="仿宋" w:eastAsia="仿宋"/>
          <w:sz w:val="32"/>
        </w:rPr>
        <w:t>≥12.40</w:t>
      </w:r>
      <w:r>
        <w:rPr>
          <w:rFonts w:ascii="仿宋" w:hAnsi="仿宋" w:eastAsia="仿宋"/>
          <w:sz w:val="32"/>
        </w:rPr>
        <w:t>公顷</w:t>
      </w:r>
      <w:r>
        <w:rPr>
          <w:rFonts w:hint="eastAsia" w:ascii="仿宋" w:hAnsi="仿宋" w:eastAsia="仿宋"/>
          <w:sz w:val="32"/>
        </w:rPr>
        <w:t>，</w:t>
      </w:r>
      <w:r>
        <w:rPr>
          <w:rFonts w:ascii="仿宋" w:hAnsi="仿宋" w:eastAsia="仿宋"/>
          <w:sz w:val="32"/>
        </w:rPr>
        <w:t>村庄建设边界面积</w:t>
      </w:r>
      <w:r>
        <w:rPr>
          <w:rFonts w:hint="eastAsia" w:ascii="仿宋" w:hAnsi="仿宋" w:eastAsia="仿宋"/>
          <w:sz w:val="32"/>
        </w:rPr>
        <w:t>≤104.12</w:t>
      </w:r>
      <w:r>
        <w:rPr>
          <w:rFonts w:ascii="仿宋" w:hAnsi="仿宋" w:eastAsia="仿宋"/>
          <w:sz w:val="32"/>
        </w:rPr>
        <w:t>公顷。</w:t>
      </w:r>
    </w:p>
    <w:p w14:paraId="030364FD">
      <w:pPr>
        <w:spacing w:line="600" w:lineRule="exact"/>
        <w:ind w:firstLine="640" w:firstLineChars="200"/>
        <w:rPr>
          <w:rFonts w:hint="eastAsia" w:ascii="仿宋" w:hAnsi="仿宋" w:eastAsia="仿宋"/>
          <w:sz w:val="32"/>
        </w:rPr>
      </w:pPr>
      <w:r>
        <w:rPr>
          <w:rFonts w:hint="eastAsia" w:ascii="仿宋" w:hAnsi="仿宋" w:eastAsia="仿宋"/>
          <w:sz w:val="32"/>
        </w:rPr>
        <w:t>1. 生态保护空间</w:t>
      </w:r>
    </w:p>
    <w:p w14:paraId="0AAD2AA7">
      <w:pPr>
        <w:spacing w:line="600" w:lineRule="exact"/>
        <w:ind w:firstLine="640" w:firstLineChars="200"/>
        <w:rPr>
          <w:rFonts w:hint="eastAsia" w:ascii="仿宋" w:hAnsi="仿宋" w:eastAsia="仿宋"/>
          <w:sz w:val="32"/>
        </w:rPr>
      </w:pPr>
      <w:r>
        <w:rPr>
          <w:rFonts w:hint="eastAsia" w:ascii="仿宋" w:hAnsi="仿宋" w:eastAsia="仿宋"/>
          <w:sz w:val="32"/>
        </w:rPr>
        <w:t>确定生态保护空间109.47公顷，包括林地、草地、陆地水域等用地，构建形成网络状、开放型的生态保护格局和开敞空间体系，维护村域生态安全和生物多样性系统。</w:t>
      </w:r>
    </w:p>
    <w:p w14:paraId="27EC729F">
      <w:pPr>
        <w:spacing w:line="600" w:lineRule="exact"/>
        <w:ind w:firstLine="640" w:firstLineChars="200"/>
        <w:rPr>
          <w:rFonts w:hint="eastAsia" w:ascii="仿宋" w:hAnsi="仿宋" w:eastAsia="仿宋"/>
          <w:sz w:val="32"/>
        </w:rPr>
      </w:pPr>
      <w:bookmarkStart w:id="1" w:name="_Hlk204920128"/>
      <w:r>
        <w:rPr>
          <w:rFonts w:ascii="仿宋" w:hAnsi="仿宋" w:eastAsia="仿宋"/>
          <w:sz w:val="32"/>
        </w:rPr>
        <w:t>湿地保护。落实上位规划确定的湿地面积约</w:t>
      </w:r>
      <w:r>
        <w:rPr>
          <w:rFonts w:hint="eastAsia" w:ascii="仿宋" w:hAnsi="仿宋" w:eastAsia="仿宋"/>
          <w:sz w:val="32"/>
        </w:rPr>
        <w:t>12.40</w:t>
      </w:r>
      <w:r>
        <w:rPr>
          <w:rFonts w:ascii="仿宋" w:hAnsi="仿宋" w:eastAsia="仿宋"/>
          <w:sz w:val="32"/>
        </w:rPr>
        <w:t>公顷，</w:t>
      </w:r>
      <w:bookmarkStart w:id="2" w:name="_Hlk204924038"/>
      <w:r>
        <w:rPr>
          <w:rFonts w:ascii="仿宋" w:hAnsi="仿宋" w:eastAsia="仿宋"/>
          <w:sz w:val="32"/>
        </w:rPr>
        <w:t>严格管控湿地活动，禁止开垦、填埋、排干湿地，永久性截断湿地水源，向湿地超标排放污染物等破坏湿地的行为。</w:t>
      </w:r>
      <w:bookmarkEnd w:id="1"/>
      <w:bookmarkEnd w:id="2"/>
    </w:p>
    <w:p w14:paraId="5D5E564F">
      <w:pPr>
        <w:spacing w:line="600" w:lineRule="exact"/>
        <w:ind w:firstLine="640" w:firstLineChars="200"/>
        <w:rPr>
          <w:rFonts w:hint="eastAsia" w:ascii="仿宋" w:hAnsi="仿宋" w:eastAsia="仿宋"/>
          <w:sz w:val="32"/>
        </w:rPr>
      </w:pPr>
      <w:r>
        <w:rPr>
          <w:rFonts w:ascii="仿宋" w:hAnsi="仿宋" w:eastAsia="仿宋"/>
          <w:sz w:val="32"/>
        </w:rPr>
        <w:t>2.</w:t>
      </w:r>
      <w:r>
        <w:rPr>
          <w:rFonts w:hint="eastAsia" w:ascii="仿宋" w:hAnsi="仿宋" w:eastAsia="仿宋"/>
          <w:sz w:val="32"/>
        </w:rPr>
        <w:t xml:space="preserve"> 保障农业空间</w:t>
      </w:r>
    </w:p>
    <w:p w14:paraId="69282976">
      <w:pPr>
        <w:spacing w:line="600" w:lineRule="exact"/>
        <w:ind w:firstLine="640" w:firstLineChars="200"/>
        <w:rPr>
          <w:rFonts w:hint="eastAsia" w:ascii="仿宋" w:hAnsi="仿宋" w:eastAsia="仿宋"/>
          <w:sz w:val="32"/>
        </w:rPr>
      </w:pPr>
      <w:r>
        <w:rPr>
          <w:rFonts w:hint="eastAsia" w:ascii="仿宋" w:hAnsi="仿宋" w:eastAsia="仿宋"/>
          <w:sz w:val="32"/>
        </w:rPr>
        <w:t>保障农业发展空间621.01公顷，划定永久基本农田</w:t>
      </w:r>
      <w:r>
        <w:rPr>
          <w:rFonts w:ascii="仿宋" w:hAnsi="仿宋" w:eastAsia="仿宋"/>
          <w:sz w:val="32"/>
        </w:rPr>
        <w:t>5</w:t>
      </w:r>
      <w:r>
        <w:rPr>
          <w:rFonts w:hint="eastAsia" w:ascii="仿宋" w:hAnsi="仿宋" w:eastAsia="仿宋"/>
          <w:sz w:val="32"/>
        </w:rPr>
        <w:t>28.71公顷。</w:t>
      </w:r>
      <w:r>
        <w:rPr>
          <w:rFonts w:ascii="仿宋" w:hAnsi="仿宋" w:eastAsia="仿宋"/>
          <w:sz w:val="32"/>
        </w:rPr>
        <w:t>农业空间包括耕地、园地、设施农用地等</w:t>
      </w:r>
      <w:r>
        <w:rPr>
          <w:rFonts w:hint="eastAsia" w:ascii="仿宋" w:hAnsi="仿宋" w:eastAsia="仿宋"/>
          <w:sz w:val="32"/>
        </w:rPr>
        <w:t>，</w:t>
      </w:r>
      <w:r>
        <w:rPr>
          <w:rFonts w:ascii="仿宋" w:hAnsi="仿宋" w:eastAsia="仿宋"/>
          <w:sz w:val="32"/>
        </w:rPr>
        <w:t>规划形成</w:t>
      </w:r>
      <w:r>
        <w:rPr>
          <w:rFonts w:hint="eastAsia" w:ascii="仿宋" w:hAnsi="仿宋" w:eastAsia="仿宋"/>
          <w:sz w:val="32"/>
        </w:rPr>
        <w:t>东、西部两</w:t>
      </w:r>
      <w:r>
        <w:rPr>
          <w:rFonts w:ascii="仿宋" w:hAnsi="仿宋" w:eastAsia="仿宋"/>
          <w:sz w:val="32"/>
        </w:rPr>
        <w:t>大</w:t>
      </w:r>
      <w:r>
        <w:rPr>
          <w:rFonts w:hint="eastAsia" w:ascii="仿宋" w:hAnsi="仿宋" w:eastAsia="仿宋"/>
          <w:sz w:val="32"/>
        </w:rPr>
        <w:t>粮食种植</w:t>
      </w:r>
      <w:r>
        <w:rPr>
          <w:rFonts w:ascii="仿宋" w:hAnsi="仿宋" w:eastAsia="仿宋"/>
          <w:sz w:val="32"/>
        </w:rPr>
        <w:t>片</w:t>
      </w:r>
      <w:r>
        <w:rPr>
          <w:rFonts w:hint="eastAsia" w:ascii="仿宋" w:hAnsi="仿宋" w:eastAsia="仿宋"/>
          <w:sz w:val="32"/>
        </w:rPr>
        <w:t>以及中部一处农业示范园区</w:t>
      </w:r>
      <w:r>
        <w:rPr>
          <w:rFonts w:ascii="仿宋" w:hAnsi="仿宋" w:eastAsia="仿宋"/>
          <w:sz w:val="32"/>
        </w:rPr>
        <w:t>。</w:t>
      </w:r>
    </w:p>
    <w:p w14:paraId="4BE800AF">
      <w:pPr>
        <w:spacing w:line="600" w:lineRule="exact"/>
        <w:ind w:firstLine="640" w:firstLineChars="200"/>
        <w:rPr>
          <w:rFonts w:hint="eastAsia" w:ascii="仿宋" w:hAnsi="仿宋" w:eastAsia="仿宋"/>
          <w:sz w:val="32"/>
        </w:rPr>
      </w:pPr>
      <w:r>
        <w:rPr>
          <w:rFonts w:ascii="仿宋" w:hAnsi="仿宋" w:eastAsia="仿宋"/>
          <w:sz w:val="32"/>
        </w:rPr>
        <w:t>坚持科学合理利用耕地资源，统筹安排农业发展空间，</w:t>
      </w:r>
      <w:r>
        <w:rPr>
          <w:rFonts w:hint="eastAsia" w:ascii="仿宋" w:hAnsi="仿宋" w:eastAsia="仿宋"/>
          <w:sz w:val="32"/>
        </w:rPr>
        <w:t>优化农业生产空间布局，</w:t>
      </w:r>
      <w:r>
        <w:rPr>
          <w:rFonts w:ascii="仿宋" w:hAnsi="仿宋" w:eastAsia="仿宋"/>
          <w:sz w:val="32"/>
        </w:rPr>
        <w:t>坚</w:t>
      </w:r>
      <w:bookmarkStart w:id="3" w:name="_Hlk89701335"/>
      <w:r>
        <w:rPr>
          <w:rFonts w:ascii="仿宋" w:hAnsi="仿宋" w:eastAsia="仿宋"/>
          <w:sz w:val="32"/>
        </w:rPr>
        <w:t>守耕地保护底线意识，控制非农占用耕地</w:t>
      </w:r>
      <w:bookmarkEnd w:id="3"/>
      <w:r>
        <w:rPr>
          <w:rFonts w:hint="eastAsia" w:ascii="仿宋" w:hAnsi="仿宋" w:eastAsia="仿宋"/>
          <w:sz w:val="32"/>
        </w:rPr>
        <w:t>；</w:t>
      </w:r>
      <w:bookmarkStart w:id="4" w:name="_Hlk89701323"/>
      <w:r>
        <w:rPr>
          <w:rFonts w:ascii="仿宋" w:hAnsi="仿宋" w:eastAsia="仿宋"/>
          <w:sz w:val="32"/>
        </w:rPr>
        <w:t>防止耕地“非粮化”，</w:t>
      </w:r>
      <w:bookmarkEnd w:id="4"/>
      <w:r>
        <w:rPr>
          <w:rFonts w:hint="eastAsia" w:ascii="仿宋" w:hAnsi="仿宋" w:eastAsia="仿宋"/>
          <w:sz w:val="32"/>
        </w:rPr>
        <w:t>永久基本农田是依法划定的优质耕地，重点用于发展粮食生产，特别是保障稻谷、小麦、玉米三大谷物的种植面积。一般耕地应主要用于粮食和棉、油、糖、蔬菜等农产品及饲草饲料生产</w:t>
      </w:r>
    </w:p>
    <w:p w14:paraId="675311A2">
      <w:pPr>
        <w:spacing w:line="600" w:lineRule="exact"/>
        <w:ind w:firstLine="640" w:firstLineChars="200"/>
        <w:rPr>
          <w:rFonts w:hint="eastAsia" w:ascii="仿宋" w:hAnsi="仿宋" w:eastAsia="仿宋"/>
          <w:sz w:val="32"/>
        </w:rPr>
      </w:pPr>
      <w:r>
        <w:rPr>
          <w:rFonts w:hint="eastAsia" w:ascii="仿宋" w:hAnsi="仿宋" w:eastAsia="仿宋"/>
          <w:sz w:val="32"/>
        </w:rPr>
        <w:t>3</w:t>
      </w:r>
      <w:r>
        <w:rPr>
          <w:rFonts w:ascii="仿宋" w:hAnsi="仿宋" w:eastAsia="仿宋"/>
          <w:sz w:val="32"/>
        </w:rPr>
        <w:t>.</w:t>
      </w:r>
      <w:r>
        <w:rPr>
          <w:rFonts w:hint="eastAsia" w:ascii="仿宋" w:hAnsi="仿宋" w:eastAsia="仿宋"/>
          <w:sz w:val="32"/>
        </w:rPr>
        <w:t xml:space="preserve"> 优化建设空间</w:t>
      </w:r>
    </w:p>
    <w:p w14:paraId="28668842">
      <w:pPr>
        <w:spacing w:line="600" w:lineRule="exact"/>
        <w:ind w:firstLine="640" w:firstLineChars="200"/>
        <w:rPr>
          <w:rFonts w:hint="eastAsia" w:ascii="仿宋" w:hAnsi="仿宋" w:eastAsia="仿宋"/>
          <w:sz w:val="32"/>
        </w:rPr>
      </w:pPr>
      <w:r>
        <w:rPr>
          <w:rFonts w:hint="eastAsia" w:ascii="仿宋" w:hAnsi="仿宋" w:eastAsia="仿宋"/>
          <w:sz w:val="32"/>
        </w:rPr>
        <w:t>整理建设110.14公顷，包括城镇开发边界6.02公顷，村庄建设边界104.12公顷。</w:t>
      </w:r>
      <w:bookmarkStart w:id="5" w:name="_Hlk204888998"/>
      <w:r>
        <w:rPr>
          <w:rFonts w:hint="eastAsia" w:ascii="仿宋" w:hAnsi="仿宋" w:eastAsia="仿宋"/>
          <w:sz w:val="32"/>
        </w:rPr>
        <w:t>乡村建设围绕乡村振兴、产村融合发展逐步向村庄建设用地边界内集聚，在保障生态安全、生产生活有序的前提下鼓励乡村建设用地复合混合利用。根据村庄发展需求，</w:t>
      </w:r>
      <w:r>
        <w:rPr>
          <w:rFonts w:ascii="仿宋" w:hAnsi="仿宋" w:eastAsia="仿宋"/>
          <w:sz w:val="32"/>
        </w:rPr>
        <w:t>新增</w:t>
      </w:r>
      <w:r>
        <w:rPr>
          <w:rFonts w:hint="eastAsia" w:ascii="仿宋" w:hAnsi="仿宋" w:eastAsia="仿宋"/>
          <w:sz w:val="32"/>
        </w:rPr>
        <w:t>建设包括服务类和产业类两种，服务类新增</w:t>
      </w:r>
      <w:r>
        <w:rPr>
          <w:rFonts w:ascii="仿宋" w:hAnsi="仿宋" w:eastAsia="仿宋"/>
          <w:sz w:val="32"/>
        </w:rPr>
        <w:t>用地主要</w:t>
      </w:r>
      <w:r>
        <w:rPr>
          <w:rFonts w:hint="eastAsia" w:ascii="仿宋" w:hAnsi="仿宋" w:eastAsia="仿宋"/>
          <w:sz w:val="32"/>
        </w:rPr>
        <w:t>位于各自然屯居民点内部，产业类新增建设用地位于中部，为落实农业产业示范园布置。</w:t>
      </w:r>
      <w:bookmarkEnd w:id="5"/>
    </w:p>
    <w:p w14:paraId="2BEAA2D1">
      <w:pPr>
        <w:spacing w:line="600" w:lineRule="exact"/>
        <w:rPr>
          <w:rFonts w:hint="eastAsia" w:ascii="黑体" w:hAnsi="黑体" w:eastAsia="黑体"/>
          <w:b/>
          <w:bCs/>
          <w:sz w:val="32"/>
        </w:rPr>
      </w:pPr>
      <w:r>
        <w:rPr>
          <w:rFonts w:hint="eastAsia" w:ascii="黑体" w:hAnsi="黑体" w:eastAsia="黑体"/>
          <w:b/>
          <w:bCs/>
          <w:sz w:val="32"/>
        </w:rPr>
        <w:t>三、村域空间发展规划</w:t>
      </w:r>
    </w:p>
    <w:p w14:paraId="5005660E">
      <w:pPr>
        <w:spacing w:line="600" w:lineRule="exact"/>
        <w:ind w:firstLine="640" w:firstLineChars="200"/>
        <w:rPr>
          <w:rFonts w:hint="eastAsia" w:ascii="仿宋" w:hAnsi="仿宋" w:eastAsia="仿宋"/>
          <w:sz w:val="32"/>
        </w:rPr>
      </w:pPr>
      <w:r>
        <w:rPr>
          <w:rFonts w:hint="eastAsia" w:ascii="仿宋" w:hAnsi="仿宋" w:eastAsia="仿宋"/>
          <w:sz w:val="32"/>
        </w:rPr>
        <w:t>1.产业</w:t>
      </w:r>
      <w:r>
        <w:rPr>
          <w:rFonts w:ascii="仿宋" w:hAnsi="仿宋" w:eastAsia="仿宋"/>
          <w:sz w:val="32"/>
        </w:rPr>
        <w:t>发展</w:t>
      </w:r>
    </w:p>
    <w:p w14:paraId="2DE527D7">
      <w:pPr>
        <w:spacing w:line="600" w:lineRule="exact"/>
        <w:ind w:firstLine="640" w:firstLineChars="200"/>
        <w:rPr>
          <w:rFonts w:hint="eastAsia" w:ascii="仿宋" w:hAnsi="仿宋" w:eastAsia="仿宋"/>
          <w:sz w:val="32"/>
        </w:rPr>
      </w:pPr>
      <w:bookmarkStart w:id="6" w:name="_Hlk119312385"/>
      <w:r>
        <w:rPr>
          <w:rFonts w:hint="eastAsia" w:ascii="仿宋" w:hAnsi="仿宋" w:eastAsia="仿宋"/>
          <w:sz w:val="32"/>
        </w:rPr>
        <w:t>英烈士村发展以一二三产业融合为主线，通过产业链条延伸、产业融合、技术渗透、体制创新等方式，将资本、技术以及资源要素进行跨界集约化配置，积极发展农业产业融合发展示范园区项目，加快转变农业发展方式，构建现代农业产业体系，达到一、二、三产的全面融合发展。</w:t>
      </w:r>
    </w:p>
    <w:p w14:paraId="0F91DD2B">
      <w:pPr>
        <w:spacing w:line="600" w:lineRule="exact"/>
        <w:ind w:firstLine="640" w:firstLineChars="200"/>
        <w:rPr>
          <w:rFonts w:hint="eastAsia" w:ascii="仿宋" w:hAnsi="仿宋" w:eastAsia="仿宋"/>
          <w:sz w:val="32"/>
        </w:rPr>
      </w:pPr>
      <w:r>
        <w:rPr>
          <w:rFonts w:hint="eastAsia" w:ascii="仿宋" w:hAnsi="仿宋" w:eastAsia="仿宋"/>
          <w:sz w:val="32"/>
        </w:rPr>
        <w:t>第一产业以种植西红柿、草莓、五味子、葡萄为主。鼓励村庄建立农业合作社组织，形成农业产业规模效应；第二产业保留现有合法合规的工业企业，联动第一和第三产业，延伸产业链条，优化粮食加工、肉类加工等产品质量，提高品牌效应；第三产业积极拓展新型业态，开展农业</w:t>
      </w:r>
      <w:r>
        <w:rPr>
          <w:rFonts w:ascii="仿宋" w:hAnsi="仿宋" w:eastAsia="仿宋"/>
          <w:sz w:val="32"/>
        </w:rPr>
        <w:t>+</w:t>
      </w:r>
      <w:r>
        <w:rPr>
          <w:rFonts w:hint="eastAsia" w:ascii="仿宋" w:hAnsi="仿宋" w:eastAsia="仿宋"/>
          <w:sz w:val="32"/>
        </w:rPr>
        <w:t>旅游业的产业发展模式，新建农业产业融合发展示范园区，发展含葡萄种植特色体验、稻田河蟹养殖、垂钓观光、民宿、学农基地、房车营地等项目。</w:t>
      </w:r>
    </w:p>
    <w:bookmarkEnd w:id="6"/>
    <w:p w14:paraId="107A4844">
      <w:pPr>
        <w:spacing w:line="600" w:lineRule="exact"/>
        <w:ind w:firstLine="640" w:firstLineChars="200"/>
        <w:rPr>
          <w:rFonts w:hint="eastAsia" w:ascii="仿宋" w:hAnsi="仿宋" w:eastAsia="仿宋"/>
          <w:sz w:val="32"/>
        </w:rPr>
      </w:pPr>
      <w:r>
        <w:rPr>
          <w:rFonts w:hint="eastAsia" w:ascii="仿宋" w:hAnsi="仿宋" w:eastAsia="仿宋"/>
          <w:sz w:val="32"/>
        </w:rPr>
        <w:t>2.人口规模</w:t>
      </w:r>
    </w:p>
    <w:p w14:paraId="3E3319AB">
      <w:pPr>
        <w:spacing w:line="600" w:lineRule="exact"/>
        <w:ind w:firstLine="640" w:firstLineChars="200"/>
        <w:rPr>
          <w:rFonts w:hint="eastAsia" w:ascii="仿宋" w:hAnsi="仿宋" w:eastAsia="仿宋"/>
          <w:sz w:val="32"/>
        </w:rPr>
      </w:pPr>
      <w:r>
        <w:rPr>
          <w:rFonts w:hint="eastAsia" w:ascii="仿宋" w:hAnsi="仿宋" w:eastAsia="仿宋"/>
          <w:sz w:val="32"/>
        </w:rPr>
        <w:t>至规划期末2035年，常住人口估算约为800人。户籍人口约为2500人。</w:t>
      </w:r>
    </w:p>
    <w:p w14:paraId="496C7B1B">
      <w:pPr>
        <w:spacing w:line="600" w:lineRule="exact"/>
        <w:ind w:firstLine="640" w:firstLineChars="200"/>
        <w:rPr>
          <w:rFonts w:hint="eastAsia" w:ascii="仿宋" w:hAnsi="仿宋" w:eastAsia="仿宋"/>
          <w:sz w:val="32"/>
        </w:rPr>
      </w:pPr>
      <w:r>
        <w:rPr>
          <w:rFonts w:hint="eastAsia" w:ascii="仿宋" w:hAnsi="仿宋" w:eastAsia="仿宋"/>
          <w:sz w:val="32"/>
        </w:rPr>
        <w:t>3.空间</w:t>
      </w:r>
      <w:r>
        <w:rPr>
          <w:rFonts w:ascii="仿宋" w:hAnsi="仿宋" w:eastAsia="仿宋"/>
          <w:sz w:val="32"/>
        </w:rPr>
        <w:t>发展布局</w:t>
      </w:r>
    </w:p>
    <w:p w14:paraId="3FDA5404">
      <w:pPr>
        <w:spacing w:line="600" w:lineRule="exact"/>
        <w:ind w:firstLine="640" w:firstLineChars="200"/>
        <w:rPr>
          <w:rFonts w:hint="eastAsia" w:ascii="仿宋" w:hAnsi="仿宋" w:eastAsia="仿宋"/>
          <w:sz w:val="32"/>
        </w:rPr>
      </w:pPr>
      <w:r>
        <w:rPr>
          <w:rFonts w:hint="eastAsia" w:ascii="仿宋" w:hAnsi="仿宋" w:eastAsia="仿宋"/>
          <w:sz w:val="32"/>
        </w:rPr>
        <w:t>以英楼线为主要发展轴线，打造“一轴、两心、三片区、四廊道、六组团、多节点”的空间格局。</w:t>
      </w:r>
    </w:p>
    <w:p w14:paraId="30F4F78D">
      <w:pPr>
        <w:spacing w:line="600" w:lineRule="exact"/>
        <w:ind w:firstLine="640" w:firstLineChars="200"/>
        <w:rPr>
          <w:rFonts w:hint="eastAsia" w:ascii="仿宋" w:hAnsi="仿宋" w:eastAsia="仿宋"/>
          <w:sz w:val="32"/>
        </w:rPr>
      </w:pPr>
      <w:r>
        <w:rPr>
          <w:rFonts w:hint="eastAsia" w:ascii="仿宋" w:hAnsi="仿宋" w:eastAsia="仿宋"/>
          <w:sz w:val="32"/>
        </w:rPr>
        <w:t>一轴：依托英楼线形成村庄发展主要轴线，串联英烈士村内的服务核心、功能片区和特色景点。</w:t>
      </w:r>
    </w:p>
    <w:p w14:paraId="35D5F0D9">
      <w:pPr>
        <w:spacing w:line="600" w:lineRule="exact"/>
        <w:ind w:firstLine="640" w:firstLineChars="200"/>
        <w:rPr>
          <w:rFonts w:hint="eastAsia" w:ascii="仿宋" w:hAnsi="仿宋" w:eastAsia="仿宋"/>
          <w:sz w:val="32"/>
        </w:rPr>
      </w:pPr>
      <w:r>
        <w:rPr>
          <w:rFonts w:hint="eastAsia" w:ascii="仿宋" w:hAnsi="仿宋" w:eastAsia="仿宋"/>
          <w:sz w:val="32"/>
        </w:rPr>
        <w:t>两心：一处位于村域东北部，作为服务于全村生产生活的村级综合服务核心；一处位于村域中部，依托英楼线形成村域特色产业发展核心。</w:t>
      </w:r>
    </w:p>
    <w:p w14:paraId="019AF81B">
      <w:pPr>
        <w:spacing w:line="600" w:lineRule="exact"/>
        <w:ind w:firstLine="640" w:firstLineChars="200"/>
        <w:rPr>
          <w:rFonts w:hint="eastAsia" w:ascii="仿宋" w:hAnsi="仿宋" w:eastAsia="仿宋"/>
          <w:sz w:val="32"/>
        </w:rPr>
      </w:pPr>
      <w:r>
        <w:rPr>
          <w:rFonts w:hint="eastAsia" w:ascii="仿宋" w:hAnsi="仿宋" w:eastAsia="仿宋"/>
          <w:sz w:val="32"/>
        </w:rPr>
        <w:t>三片区：包括传统农业片区、农业示范片区和生态斑块。</w:t>
      </w:r>
    </w:p>
    <w:p w14:paraId="0D25CDA4">
      <w:pPr>
        <w:spacing w:line="600" w:lineRule="exact"/>
        <w:ind w:firstLine="640" w:firstLineChars="200"/>
        <w:rPr>
          <w:rFonts w:hint="eastAsia" w:ascii="仿宋" w:hAnsi="仿宋" w:eastAsia="仿宋"/>
          <w:sz w:val="32"/>
        </w:rPr>
      </w:pPr>
      <w:r>
        <w:rPr>
          <w:rFonts w:hint="eastAsia" w:ascii="仿宋" w:hAnsi="仿宋" w:eastAsia="仿宋"/>
          <w:sz w:val="32"/>
        </w:rPr>
        <w:t>四廊道：由主要发展轴向东西两侧形成四条生态廊道，串联主要居住组团和和农业片区。</w:t>
      </w:r>
    </w:p>
    <w:p w14:paraId="7F084AB3">
      <w:pPr>
        <w:spacing w:line="600" w:lineRule="exact"/>
        <w:ind w:firstLine="640" w:firstLineChars="200"/>
        <w:rPr>
          <w:rFonts w:hint="eastAsia" w:ascii="仿宋" w:hAnsi="仿宋" w:eastAsia="仿宋"/>
          <w:sz w:val="32"/>
        </w:rPr>
      </w:pPr>
      <w:r>
        <w:rPr>
          <w:rFonts w:hint="eastAsia" w:ascii="仿宋" w:hAnsi="仿宋" w:eastAsia="仿宋"/>
          <w:sz w:val="32"/>
        </w:rPr>
        <w:t>六组团：基于各个集中居民点形成六个居住组团。</w:t>
      </w:r>
    </w:p>
    <w:p w14:paraId="5BAE9B5F">
      <w:pPr>
        <w:spacing w:line="600" w:lineRule="exact"/>
        <w:ind w:firstLine="640" w:firstLineChars="200"/>
        <w:rPr>
          <w:rFonts w:hint="eastAsia" w:ascii="仿宋" w:hAnsi="仿宋" w:eastAsia="仿宋"/>
          <w:sz w:val="32"/>
        </w:rPr>
      </w:pPr>
      <w:r>
        <w:rPr>
          <w:rFonts w:hint="eastAsia" w:ascii="仿宋" w:hAnsi="仿宋" w:eastAsia="仿宋"/>
          <w:sz w:val="32"/>
        </w:rPr>
        <w:t>多节点：包括多处特色产业节点或特色景观节点。</w:t>
      </w:r>
    </w:p>
    <w:p w14:paraId="7242CCFE">
      <w:pPr>
        <w:spacing w:line="600" w:lineRule="exact"/>
        <w:rPr>
          <w:rFonts w:hint="eastAsia" w:ascii="黑体" w:hAnsi="黑体" w:eastAsia="黑体"/>
          <w:b/>
          <w:bCs/>
          <w:sz w:val="32"/>
        </w:rPr>
      </w:pPr>
      <w:r>
        <w:rPr>
          <w:rFonts w:hint="eastAsia" w:ascii="黑体" w:hAnsi="黑体" w:eastAsia="黑体"/>
          <w:b/>
          <w:bCs/>
          <w:sz w:val="32"/>
        </w:rPr>
        <w:t>四、人居环境整治规划</w:t>
      </w:r>
    </w:p>
    <w:p w14:paraId="4CBB0ED3">
      <w:pPr>
        <w:spacing w:line="600" w:lineRule="exact"/>
        <w:ind w:firstLine="640" w:firstLineChars="200"/>
        <w:rPr>
          <w:rFonts w:hint="eastAsia" w:ascii="仿宋" w:hAnsi="仿宋" w:eastAsia="仿宋"/>
          <w:sz w:val="32"/>
        </w:rPr>
      </w:pPr>
      <w:r>
        <w:rPr>
          <w:rFonts w:hint="eastAsia" w:ascii="仿宋" w:hAnsi="仿宋" w:eastAsia="仿宋"/>
          <w:sz w:val="32"/>
        </w:rPr>
        <w:t>对于规划中已</w:t>
      </w:r>
      <w:r>
        <w:rPr>
          <w:rFonts w:ascii="仿宋" w:hAnsi="仿宋" w:eastAsia="仿宋"/>
          <w:sz w:val="32"/>
        </w:rPr>
        <w:t>进行</w:t>
      </w:r>
      <w:r>
        <w:rPr>
          <w:rFonts w:hint="eastAsia" w:ascii="仿宋" w:hAnsi="仿宋" w:eastAsia="仿宋"/>
          <w:sz w:val="32"/>
        </w:rPr>
        <w:t>集中布局</w:t>
      </w:r>
      <w:r>
        <w:rPr>
          <w:rFonts w:ascii="仿宋" w:hAnsi="仿宋" w:eastAsia="仿宋"/>
          <w:sz w:val="32"/>
        </w:rPr>
        <w:t>的</w:t>
      </w:r>
      <w:r>
        <w:rPr>
          <w:rFonts w:hint="eastAsia" w:ascii="仿宋" w:hAnsi="仿宋" w:eastAsia="仿宋"/>
          <w:sz w:val="32"/>
        </w:rPr>
        <w:t>村庄居住和农业种植</w:t>
      </w:r>
      <w:r>
        <w:rPr>
          <w:rFonts w:ascii="仿宋" w:hAnsi="仿宋" w:eastAsia="仿宋"/>
          <w:sz w:val="32"/>
        </w:rPr>
        <w:t>等用地，结合农民生</w:t>
      </w:r>
      <w:r>
        <w:rPr>
          <w:rFonts w:hint="eastAsia" w:ascii="仿宋" w:hAnsi="仿宋" w:eastAsia="仿宋"/>
          <w:sz w:val="32"/>
        </w:rPr>
        <w:t>产</w:t>
      </w:r>
      <w:r>
        <w:rPr>
          <w:rFonts w:ascii="仿宋" w:hAnsi="仿宋" w:eastAsia="仿宋"/>
          <w:sz w:val="32"/>
        </w:rPr>
        <w:t>生活</w:t>
      </w:r>
      <w:r>
        <w:rPr>
          <w:rFonts w:hint="eastAsia" w:ascii="仿宋" w:hAnsi="仿宋" w:eastAsia="仿宋"/>
          <w:sz w:val="32"/>
        </w:rPr>
        <w:t>方式，从土地综合整治、公共安全治理、公共设施完善、公用设施布局、</w:t>
      </w:r>
      <w:r>
        <w:rPr>
          <w:rFonts w:ascii="仿宋" w:hAnsi="仿宋" w:eastAsia="仿宋"/>
          <w:sz w:val="32"/>
        </w:rPr>
        <w:t>路</w:t>
      </w:r>
      <w:r>
        <w:rPr>
          <w:rFonts w:hint="eastAsia" w:ascii="仿宋" w:hAnsi="仿宋" w:eastAsia="仿宋"/>
          <w:sz w:val="32"/>
        </w:rPr>
        <w:t>网优化、景观风貌 和建筑风貌等角度，对村庄人居环境进行规划设计</w:t>
      </w:r>
      <w:r>
        <w:rPr>
          <w:rFonts w:ascii="仿宋" w:hAnsi="仿宋" w:eastAsia="仿宋"/>
          <w:sz w:val="32"/>
        </w:rPr>
        <w:t>。</w:t>
      </w:r>
    </w:p>
    <w:p w14:paraId="1108212B">
      <w:pPr>
        <w:spacing w:line="600" w:lineRule="exact"/>
        <w:rPr>
          <w:rFonts w:hint="eastAsia" w:ascii="黑体" w:hAnsi="黑体" w:eastAsia="黑体"/>
          <w:b/>
          <w:bCs/>
          <w:sz w:val="32"/>
        </w:rPr>
      </w:pPr>
      <w:r>
        <w:rPr>
          <w:rFonts w:hint="eastAsia" w:ascii="黑体" w:hAnsi="黑体" w:eastAsia="黑体"/>
          <w:b/>
          <w:bCs/>
          <w:sz w:val="32"/>
        </w:rPr>
        <w:t>五、近期整治</w:t>
      </w:r>
      <w:r>
        <w:rPr>
          <w:rFonts w:ascii="黑体" w:hAnsi="黑体" w:eastAsia="黑体"/>
          <w:b/>
          <w:bCs/>
          <w:sz w:val="32"/>
        </w:rPr>
        <w:t>规划</w:t>
      </w:r>
    </w:p>
    <w:p w14:paraId="7B22AD53">
      <w:pPr>
        <w:spacing w:line="600" w:lineRule="exact"/>
        <w:ind w:firstLine="640" w:firstLineChars="200"/>
        <w:rPr>
          <w:rFonts w:hint="eastAsia" w:ascii="仿宋" w:hAnsi="仿宋" w:eastAsia="仿宋"/>
          <w:sz w:val="32"/>
        </w:rPr>
        <w:sectPr>
          <w:pgSz w:w="11906" w:h="16838"/>
          <w:pgMar w:top="1440" w:right="1800" w:bottom="1440" w:left="1800" w:header="851" w:footer="992" w:gutter="0"/>
          <w:cols w:space="425" w:num="1"/>
          <w:docGrid w:type="lines" w:linePitch="312" w:charSpace="0"/>
        </w:sectPr>
      </w:pPr>
      <w:r>
        <w:rPr>
          <w:rFonts w:hint="eastAsia" w:ascii="仿宋" w:hAnsi="仿宋" w:eastAsia="仿宋"/>
          <w:sz w:val="32"/>
        </w:rPr>
        <w:t>近期实施项目包括对英烈士村的公共服务设施和公用服务设施进行提升，以及必要的土地整治、生态修复和产业发展等项目。重点完成完成村庄道路的硬化，实现“屯屯通”；为村民提供干净的自来水，提升村庄的排污问题，同时增加垃圾收集点以及公共厕所等环境设施，提升村庄的环境；主要增加设施包括文化活动室、农家书屋、特色民俗活动点、老年活动室，以及按照15分钟生活圈布置的健身广场、便民农家店和快递投放点；另外近期也将对流经年屯、前小宋屯、后小宋屯、栈房屯和宋东屯的河道进行综合治理。</w:t>
      </w:r>
    </w:p>
    <w:p w14:paraId="49F3CBB7">
      <w:pPr>
        <w:rPr>
          <w:rFonts w:hint="eastAsia" w:ascii="黑体" w:hAnsi="黑体" w:eastAsia="黑体"/>
          <w:b/>
          <w:bCs/>
          <w:sz w:val="32"/>
        </w:rPr>
      </w:pPr>
      <w:r>
        <w:rPr>
          <w:rFonts w:hint="eastAsia" w:ascii="黑体" w:hAnsi="黑体" w:eastAsia="黑体"/>
          <w:b/>
          <w:bCs/>
          <w:sz w:val="32"/>
        </w:rPr>
        <w:t>六、附图</w:t>
      </w:r>
    </w:p>
    <w:p w14:paraId="1E9A74FF">
      <w:pPr>
        <w:jc w:val="left"/>
      </w:pPr>
      <w:r>
        <w:rPr>
          <w:rFonts w:hint="eastAsia" w:ascii="仿宋" w:hAnsi="仿宋" w:eastAsia="仿宋"/>
          <w:sz w:val="28"/>
          <w:szCs w:val="28"/>
        </w:rPr>
        <w:t>1.区位图</w:t>
      </w:r>
      <w:r>
        <w:t xml:space="preserve"> </w:t>
      </w:r>
      <w:r>
        <w:drawing>
          <wp:inline distT="0" distB="0" distL="0" distR="0">
            <wp:extent cx="5274310" cy="7451090"/>
            <wp:effectExtent l="0" t="0" r="2540" b="0"/>
            <wp:docPr id="1974224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4772"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p w14:paraId="70246C95">
      <w:pPr>
        <w:rPr>
          <w:rFonts w:hint="eastAsia" w:ascii="仿宋" w:hAnsi="仿宋" w:eastAsia="仿宋"/>
          <w:sz w:val="28"/>
          <w:szCs w:val="28"/>
        </w:rPr>
      </w:pPr>
    </w:p>
    <w:p w14:paraId="51CF5F22">
      <w:pPr>
        <w:rPr>
          <w:rFonts w:hint="eastAsia" w:ascii="仿宋" w:hAnsi="仿宋" w:eastAsia="仿宋"/>
          <w:sz w:val="28"/>
          <w:szCs w:val="28"/>
        </w:rPr>
      </w:pPr>
      <w:r>
        <w:rPr>
          <w:rFonts w:hint="eastAsia" w:ascii="仿宋" w:hAnsi="仿宋" w:eastAsia="仿宋"/>
          <w:sz w:val="28"/>
          <w:szCs w:val="28"/>
        </w:rPr>
        <w:t>2.边界划定与管控图</w:t>
      </w:r>
    </w:p>
    <w:p w14:paraId="521167DC">
      <w:pPr>
        <w:jc w:val="center"/>
        <w:rPr>
          <w:rFonts w:hint="eastAsia" w:ascii="仿宋" w:hAnsi="仿宋" w:eastAsia="仿宋"/>
          <w:sz w:val="28"/>
          <w:szCs w:val="28"/>
        </w:rPr>
      </w:pPr>
      <w:r>
        <w:drawing>
          <wp:inline distT="0" distB="0" distL="0" distR="0">
            <wp:extent cx="5274310" cy="7451090"/>
            <wp:effectExtent l="0" t="0" r="2540" b="0"/>
            <wp:docPr id="446264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64744"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p w14:paraId="3CEAD80A">
      <w:pPr>
        <w:rPr>
          <w:rFonts w:hint="eastAsia" w:ascii="仿宋" w:hAnsi="仿宋" w:eastAsia="仿宋"/>
          <w:sz w:val="28"/>
          <w:szCs w:val="28"/>
        </w:rPr>
      </w:pPr>
    </w:p>
    <w:p w14:paraId="19448723">
      <w:pPr>
        <w:rPr>
          <w:rFonts w:hint="eastAsia" w:ascii="仿宋" w:hAnsi="仿宋" w:eastAsia="仿宋"/>
          <w:sz w:val="28"/>
          <w:szCs w:val="28"/>
        </w:rPr>
      </w:pPr>
    </w:p>
    <w:p w14:paraId="1A4ED2A6">
      <w:pPr>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村域空间结构规划图</w:t>
      </w:r>
    </w:p>
    <w:p w14:paraId="32113A1B">
      <w:pPr>
        <w:jc w:val="center"/>
        <w:rPr>
          <w:rFonts w:hint="eastAsia" w:ascii="仿宋" w:hAnsi="仿宋" w:eastAsia="仿宋"/>
          <w:sz w:val="28"/>
          <w:szCs w:val="28"/>
        </w:rPr>
      </w:pPr>
      <w:r>
        <w:drawing>
          <wp:inline distT="0" distB="0" distL="0" distR="0">
            <wp:extent cx="5274310" cy="7451090"/>
            <wp:effectExtent l="0" t="0" r="2540" b="0"/>
            <wp:docPr id="12924662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6207"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p w14:paraId="40D39D88">
      <w:pPr>
        <w:rPr>
          <w:rFonts w:hint="eastAsia" w:ascii="仿宋" w:hAnsi="仿宋" w:eastAsia="仿宋"/>
          <w:sz w:val="28"/>
          <w:szCs w:val="28"/>
        </w:rPr>
      </w:pPr>
    </w:p>
    <w:p w14:paraId="42994B7D">
      <w:pPr>
        <w:rPr>
          <w:rFonts w:hint="eastAsia" w:ascii="仿宋" w:hAnsi="仿宋" w:eastAsia="仿宋"/>
          <w:sz w:val="28"/>
          <w:szCs w:val="28"/>
        </w:rPr>
      </w:pPr>
    </w:p>
    <w:p w14:paraId="26872977">
      <w:pPr>
        <w:rPr>
          <w:rFonts w:hint="eastAsia" w:ascii="仿宋" w:hAnsi="仿宋" w:eastAsia="仿宋"/>
          <w:sz w:val="28"/>
          <w:szCs w:val="28"/>
        </w:rPr>
      </w:pPr>
      <w:r>
        <w:rPr>
          <w:rFonts w:ascii="仿宋" w:hAnsi="仿宋" w:eastAsia="仿宋"/>
          <w:sz w:val="28"/>
          <w:szCs w:val="28"/>
        </w:rPr>
        <w:t>4.</w:t>
      </w:r>
      <w:r>
        <w:rPr>
          <w:rFonts w:hint="eastAsia" w:ascii="仿宋" w:hAnsi="仿宋" w:eastAsia="仿宋"/>
          <w:sz w:val="28"/>
          <w:szCs w:val="28"/>
        </w:rPr>
        <w:t>村域国土空间规划图</w:t>
      </w:r>
    </w:p>
    <w:p w14:paraId="446BC0DF">
      <w:pPr>
        <w:jc w:val="center"/>
        <w:rPr>
          <w:rFonts w:hint="eastAsia" w:ascii="仿宋" w:hAnsi="仿宋" w:eastAsia="仿宋"/>
          <w:sz w:val="28"/>
          <w:szCs w:val="28"/>
        </w:rPr>
      </w:pPr>
      <w:r>
        <w:drawing>
          <wp:inline distT="0" distB="0" distL="0" distR="0">
            <wp:extent cx="5274310" cy="7451090"/>
            <wp:effectExtent l="0" t="0" r="2540" b="0"/>
            <wp:docPr id="13706930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93037"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p w14:paraId="2A6CC5E1">
      <w:pPr>
        <w:rPr>
          <w:rFonts w:hint="eastAsia" w:ascii="仿宋" w:hAnsi="仿宋" w:eastAsia="仿宋"/>
          <w:sz w:val="28"/>
          <w:szCs w:val="28"/>
        </w:rPr>
      </w:pPr>
    </w:p>
    <w:p w14:paraId="776C32FC">
      <w:pPr>
        <w:rPr>
          <w:rFonts w:hint="eastAsia" w:ascii="仿宋" w:hAnsi="仿宋" w:eastAsia="仿宋"/>
          <w:sz w:val="28"/>
          <w:szCs w:val="28"/>
        </w:rPr>
      </w:pPr>
    </w:p>
    <w:p w14:paraId="48509CBF">
      <w:pPr>
        <w:rPr>
          <w:rFonts w:hint="eastAsia" w:ascii="仿宋" w:hAnsi="仿宋" w:eastAsia="仿宋"/>
          <w:sz w:val="28"/>
          <w:szCs w:val="28"/>
        </w:rPr>
      </w:pPr>
      <w:r>
        <w:rPr>
          <w:rFonts w:hint="eastAsia" w:ascii="仿宋" w:hAnsi="仿宋" w:eastAsia="仿宋"/>
          <w:sz w:val="28"/>
          <w:szCs w:val="28"/>
        </w:rPr>
        <w:t>5</w:t>
      </w:r>
      <w:r>
        <w:rPr>
          <w:rFonts w:ascii="仿宋" w:hAnsi="仿宋" w:eastAsia="仿宋"/>
          <w:sz w:val="28"/>
          <w:szCs w:val="28"/>
        </w:rPr>
        <w:t>.</w:t>
      </w:r>
      <w:r>
        <w:rPr>
          <w:rFonts w:hint="eastAsia" w:ascii="仿宋" w:hAnsi="仿宋" w:eastAsia="仿宋"/>
          <w:sz w:val="28"/>
          <w:szCs w:val="28"/>
        </w:rPr>
        <w:t>特色产业空间发展指引图</w:t>
      </w:r>
    </w:p>
    <w:p w14:paraId="22D67DC8">
      <w:pPr>
        <w:jc w:val="center"/>
        <w:rPr>
          <w:rFonts w:hint="eastAsia" w:ascii="仿宋" w:hAnsi="仿宋" w:eastAsia="仿宋"/>
          <w:sz w:val="28"/>
          <w:szCs w:val="28"/>
        </w:rPr>
      </w:pPr>
      <w:r>
        <w:drawing>
          <wp:inline distT="0" distB="0" distL="0" distR="0">
            <wp:extent cx="5274310" cy="7451090"/>
            <wp:effectExtent l="0" t="0" r="2540" b="0"/>
            <wp:docPr id="1982026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2663"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p w14:paraId="15EEF8FE">
      <w:pPr>
        <w:rPr>
          <w:rFonts w:hint="eastAsia" w:ascii="仿宋" w:hAnsi="仿宋" w:eastAsia="仿宋"/>
          <w:sz w:val="28"/>
          <w:szCs w:val="28"/>
        </w:rPr>
      </w:pPr>
    </w:p>
    <w:p w14:paraId="36EBD6CC">
      <w:pPr>
        <w:rPr>
          <w:rFonts w:hint="eastAsia" w:ascii="仿宋" w:hAnsi="仿宋" w:eastAsia="仿宋"/>
          <w:sz w:val="28"/>
          <w:szCs w:val="28"/>
        </w:rPr>
      </w:pPr>
    </w:p>
    <w:p w14:paraId="74D2FA5C">
      <w:pPr>
        <w:rPr>
          <w:rFonts w:hint="eastAsia" w:ascii="仿宋" w:hAnsi="仿宋" w:eastAsia="仿宋"/>
          <w:sz w:val="28"/>
          <w:szCs w:val="28"/>
        </w:rPr>
      </w:pPr>
      <w:r>
        <w:rPr>
          <w:rFonts w:hint="eastAsia" w:ascii="仿宋" w:hAnsi="仿宋" w:eastAsia="仿宋"/>
          <w:sz w:val="28"/>
          <w:szCs w:val="28"/>
        </w:rPr>
        <w:t>6.</w:t>
      </w:r>
      <w:r>
        <w:rPr>
          <w:rFonts w:hint="eastAsia"/>
        </w:rPr>
        <w:t xml:space="preserve"> </w:t>
      </w:r>
      <w:r>
        <w:rPr>
          <w:rFonts w:hint="eastAsia" w:ascii="仿宋" w:hAnsi="仿宋" w:eastAsia="仿宋"/>
          <w:sz w:val="28"/>
          <w:szCs w:val="28"/>
        </w:rPr>
        <w:t>村民版规划图</w:t>
      </w:r>
    </w:p>
    <w:p w14:paraId="640E8736">
      <w:pPr>
        <w:jc w:val="center"/>
        <w:rPr>
          <w:rFonts w:hint="eastAsia" w:ascii="仿宋" w:hAnsi="仿宋" w:eastAsia="仿宋"/>
          <w:sz w:val="28"/>
          <w:szCs w:val="28"/>
        </w:rPr>
      </w:pPr>
      <w:r>
        <w:drawing>
          <wp:inline distT="0" distB="0" distL="0" distR="0">
            <wp:extent cx="5274310" cy="7451090"/>
            <wp:effectExtent l="0" t="0" r="2540" b="0"/>
            <wp:docPr id="8203295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9592"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74510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AC6DB7"/>
    <w:multiLevelType w:val="multilevel"/>
    <w:tmpl w:val="04AC6DB7"/>
    <w:lvl w:ilvl="0" w:tentative="0">
      <w:start w:val="1"/>
      <w:numFmt w:val="chineseCountingThousand"/>
      <w:pStyle w:val="2"/>
      <w:lvlText w:val="第%1章"/>
      <w:lvlJc w:val="center"/>
      <w:pPr>
        <w:ind w:left="400" w:hanging="400"/>
      </w:pPr>
      <w:rPr>
        <w:rFonts w:hint="eastAsia" w:ascii="黑体" w:hAnsi="黑体" w:eastAsia="黑体"/>
        <w:b/>
        <w:i w:val="0"/>
        <w:sz w:val="36"/>
        <w:szCs w:val="40"/>
      </w:rPr>
    </w:lvl>
    <w:lvl w:ilvl="1" w:tentative="0">
      <w:start w:val="1"/>
      <w:numFmt w:val="chineseCountingThousand"/>
      <w:pStyle w:val="4"/>
      <w:lvlText w:val="第%2节"/>
      <w:lvlJc w:val="left"/>
      <w:pPr>
        <w:ind w:left="0" w:firstLine="0"/>
      </w:pPr>
      <w:rPr>
        <w:rFonts w:hint="eastAsia" w:ascii="黑体" w:hAnsi="黑体" w:eastAsia="黑体"/>
        <w:b/>
        <w:i w:val="0"/>
        <w:sz w:val="30"/>
      </w:rPr>
    </w:lvl>
    <w:lvl w:ilvl="2" w:tentative="0">
      <w:start w:val="1"/>
      <w:numFmt w:val="chineseCountingThousand"/>
      <w:pStyle w:val="5"/>
      <w:lvlText w:val="%3."/>
      <w:lvlJc w:val="left"/>
      <w:pPr>
        <w:tabs>
          <w:tab w:val="left" w:pos="142"/>
        </w:tabs>
        <w:ind w:left="330" w:hanging="188"/>
      </w:pPr>
      <w:rPr>
        <w:rFonts w:hint="eastAsia" w:ascii="仿宋" w:hAnsi="仿宋" w:eastAsia="仿宋"/>
        <w:b/>
        <w:i w:val="0"/>
        <w:sz w:val="28"/>
        <w:szCs w:val="24"/>
        <w:lang w:val="en-US"/>
      </w:rPr>
    </w:lvl>
    <w:lvl w:ilvl="3" w:tentative="0">
      <w:start w:val="1"/>
      <w:numFmt w:val="decimal"/>
      <w:pStyle w:val="6"/>
      <w:lvlText w:val="%4."/>
      <w:lvlJc w:val="left"/>
      <w:pPr>
        <w:ind w:left="1702" w:hanging="1276"/>
      </w:pPr>
      <w:rPr>
        <w:rFonts w:hint="eastAsia" w:eastAsia="宋体"/>
        <w:b/>
        <w:i w:val="0"/>
        <w:sz w:val="24"/>
      </w:rPr>
    </w:lvl>
    <w:lvl w:ilvl="4" w:tentative="0">
      <w:start w:val="1"/>
      <w:numFmt w:val="decimal"/>
      <w:pStyle w:val="3"/>
      <w:lvlText w:val="（%5）"/>
      <w:lvlJc w:val="left"/>
      <w:pPr>
        <w:ind w:left="4112" w:hanging="1843"/>
      </w:pPr>
      <w:rPr>
        <w:rFonts w:hint="eastAsia" w:eastAsia="宋体"/>
        <w:b w:val="0"/>
        <w:i w:val="0"/>
        <w:sz w:val="24"/>
      </w:rPr>
    </w:lvl>
    <w:lvl w:ilvl="5" w:tentative="0">
      <w:start w:val="1"/>
      <w:numFmt w:val="lowerLetter"/>
      <w:pStyle w:val="20"/>
      <w:lvlText w:val="%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5F1"/>
    <w:rsid w:val="00000418"/>
    <w:rsid w:val="00001D15"/>
    <w:rsid w:val="000078D4"/>
    <w:rsid w:val="00037C09"/>
    <w:rsid w:val="000447D3"/>
    <w:rsid w:val="00075ACB"/>
    <w:rsid w:val="00081987"/>
    <w:rsid w:val="00085FE4"/>
    <w:rsid w:val="000A60C5"/>
    <w:rsid w:val="000B2DA3"/>
    <w:rsid w:val="000C25EF"/>
    <w:rsid w:val="000C3368"/>
    <w:rsid w:val="000E4785"/>
    <w:rsid w:val="00150299"/>
    <w:rsid w:val="00181F81"/>
    <w:rsid w:val="00196A3A"/>
    <w:rsid w:val="001A199B"/>
    <w:rsid w:val="001A1EEE"/>
    <w:rsid w:val="001B28B5"/>
    <w:rsid w:val="001B3C1B"/>
    <w:rsid w:val="001D6203"/>
    <w:rsid w:val="001E58AB"/>
    <w:rsid w:val="001F1686"/>
    <w:rsid w:val="00255DD3"/>
    <w:rsid w:val="00263FF0"/>
    <w:rsid w:val="00270981"/>
    <w:rsid w:val="002A17CC"/>
    <w:rsid w:val="002A5F59"/>
    <w:rsid w:val="002B7DDD"/>
    <w:rsid w:val="002D64AD"/>
    <w:rsid w:val="002D794F"/>
    <w:rsid w:val="00310370"/>
    <w:rsid w:val="00313C6C"/>
    <w:rsid w:val="003174CF"/>
    <w:rsid w:val="0033023D"/>
    <w:rsid w:val="00347267"/>
    <w:rsid w:val="00360ED2"/>
    <w:rsid w:val="00370E15"/>
    <w:rsid w:val="003A736E"/>
    <w:rsid w:val="00402145"/>
    <w:rsid w:val="004025F0"/>
    <w:rsid w:val="0041771C"/>
    <w:rsid w:val="0043481C"/>
    <w:rsid w:val="00450E8D"/>
    <w:rsid w:val="004813CC"/>
    <w:rsid w:val="004B57B7"/>
    <w:rsid w:val="004E6C3C"/>
    <w:rsid w:val="00531D04"/>
    <w:rsid w:val="00562F40"/>
    <w:rsid w:val="00580F91"/>
    <w:rsid w:val="00595FF6"/>
    <w:rsid w:val="005E7397"/>
    <w:rsid w:val="005F3EF2"/>
    <w:rsid w:val="00601211"/>
    <w:rsid w:val="00606C07"/>
    <w:rsid w:val="00646A62"/>
    <w:rsid w:val="00687A35"/>
    <w:rsid w:val="006B5BFB"/>
    <w:rsid w:val="006F37FC"/>
    <w:rsid w:val="00750A56"/>
    <w:rsid w:val="00755B1B"/>
    <w:rsid w:val="007807F5"/>
    <w:rsid w:val="00786669"/>
    <w:rsid w:val="00787DB9"/>
    <w:rsid w:val="007A3525"/>
    <w:rsid w:val="007C1572"/>
    <w:rsid w:val="007D2D85"/>
    <w:rsid w:val="007E3315"/>
    <w:rsid w:val="007F57E6"/>
    <w:rsid w:val="00801908"/>
    <w:rsid w:val="0080215F"/>
    <w:rsid w:val="008433F1"/>
    <w:rsid w:val="008451B3"/>
    <w:rsid w:val="00852553"/>
    <w:rsid w:val="00874D9D"/>
    <w:rsid w:val="008A1D5C"/>
    <w:rsid w:val="008B032F"/>
    <w:rsid w:val="008B69C8"/>
    <w:rsid w:val="008F492E"/>
    <w:rsid w:val="0090620A"/>
    <w:rsid w:val="00926B25"/>
    <w:rsid w:val="009762E3"/>
    <w:rsid w:val="009A4756"/>
    <w:rsid w:val="009D5874"/>
    <w:rsid w:val="009E581D"/>
    <w:rsid w:val="009F271E"/>
    <w:rsid w:val="00A4343B"/>
    <w:rsid w:val="00A6161F"/>
    <w:rsid w:val="00A83EBC"/>
    <w:rsid w:val="00AA37ED"/>
    <w:rsid w:val="00AB1B50"/>
    <w:rsid w:val="00AC05F1"/>
    <w:rsid w:val="00AD0A00"/>
    <w:rsid w:val="00B53A03"/>
    <w:rsid w:val="00B758FE"/>
    <w:rsid w:val="00BA0B96"/>
    <w:rsid w:val="00BC21C1"/>
    <w:rsid w:val="00C50EC7"/>
    <w:rsid w:val="00C57539"/>
    <w:rsid w:val="00CA54C8"/>
    <w:rsid w:val="00CB2280"/>
    <w:rsid w:val="00CC17D3"/>
    <w:rsid w:val="00CF45D3"/>
    <w:rsid w:val="00D04B79"/>
    <w:rsid w:val="00D31AE8"/>
    <w:rsid w:val="00DC789F"/>
    <w:rsid w:val="00E448FD"/>
    <w:rsid w:val="00E730C9"/>
    <w:rsid w:val="00E847F3"/>
    <w:rsid w:val="00E91D19"/>
    <w:rsid w:val="00E93717"/>
    <w:rsid w:val="00EB02A8"/>
    <w:rsid w:val="00EE7BDF"/>
    <w:rsid w:val="00EF20BC"/>
    <w:rsid w:val="00F529CA"/>
    <w:rsid w:val="00F56254"/>
    <w:rsid w:val="00F6579C"/>
    <w:rsid w:val="00F76E3F"/>
    <w:rsid w:val="00FA0B01"/>
    <w:rsid w:val="00FA74F2"/>
    <w:rsid w:val="00FB0D82"/>
    <w:rsid w:val="00FE138E"/>
    <w:rsid w:val="00FE552E"/>
    <w:rsid w:val="22F61450"/>
    <w:rsid w:val="5C4A001E"/>
    <w:rsid w:val="66876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link w:val="16"/>
    <w:qFormat/>
    <w:uiPriority w:val="9"/>
    <w:pPr>
      <w:numPr>
        <w:ilvl w:val="0"/>
      </w:numPr>
      <w:tabs>
        <w:tab w:val="left" w:pos="834"/>
      </w:tabs>
      <w:spacing w:beforeLines="50" w:afterLines="50"/>
      <w:jc w:val="center"/>
      <w:outlineLvl w:val="0"/>
    </w:pPr>
    <w:rPr>
      <w:rFonts w:eastAsia="微软雅黑"/>
      <w:b/>
      <w:bCs/>
      <w:color w:val="000000"/>
      <w:sz w:val="36"/>
      <w:szCs w:val="36"/>
    </w:rPr>
  </w:style>
  <w:style w:type="paragraph" w:styleId="4">
    <w:name w:val="heading 2"/>
    <w:basedOn w:val="3"/>
    <w:next w:val="1"/>
    <w:link w:val="17"/>
    <w:unhideWhenUsed/>
    <w:qFormat/>
    <w:uiPriority w:val="9"/>
    <w:pPr>
      <w:numPr>
        <w:ilvl w:val="1"/>
      </w:numPr>
      <w:tabs>
        <w:tab w:val="left" w:pos="834"/>
      </w:tabs>
      <w:spacing w:beforeLines="50"/>
      <w:jc w:val="center"/>
      <w:outlineLvl w:val="1"/>
    </w:pPr>
    <w:rPr>
      <w:rFonts w:eastAsia="微软雅黑"/>
      <w:b/>
      <w:bCs/>
      <w:sz w:val="30"/>
      <w:szCs w:val="30"/>
    </w:rPr>
  </w:style>
  <w:style w:type="paragraph" w:styleId="5">
    <w:name w:val="heading 3"/>
    <w:basedOn w:val="3"/>
    <w:next w:val="1"/>
    <w:link w:val="18"/>
    <w:unhideWhenUsed/>
    <w:qFormat/>
    <w:uiPriority w:val="9"/>
    <w:pPr>
      <w:numPr>
        <w:ilvl w:val="2"/>
      </w:numPr>
      <w:tabs>
        <w:tab w:val="left" w:pos="834"/>
      </w:tabs>
      <w:spacing w:beforeLines="50"/>
      <w:outlineLvl w:val="2"/>
    </w:pPr>
    <w:rPr>
      <w:rFonts w:eastAsia="微软雅黑"/>
      <w:b/>
      <w:bCs/>
      <w:sz w:val="28"/>
      <w:szCs w:val="28"/>
    </w:rPr>
  </w:style>
  <w:style w:type="paragraph" w:styleId="6">
    <w:name w:val="heading 4"/>
    <w:basedOn w:val="3"/>
    <w:next w:val="1"/>
    <w:link w:val="19"/>
    <w:unhideWhenUsed/>
    <w:qFormat/>
    <w:uiPriority w:val="9"/>
    <w:pPr>
      <w:numPr>
        <w:ilvl w:val="3"/>
      </w:numPr>
      <w:tabs>
        <w:tab w:val="left" w:pos="834"/>
      </w:tabs>
      <w:spacing w:beforeLines="50"/>
      <w:outlineLvl w:val="3"/>
    </w:pPr>
    <w:rPr>
      <w:b/>
      <w:bCs/>
      <w:color w:val="000000"/>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1"/>
    <w:pPr>
      <w:numPr>
        <w:ilvl w:val="4"/>
        <w:numId w:val="1"/>
      </w:numPr>
      <w:autoSpaceDE w:val="0"/>
      <w:autoSpaceDN w:val="0"/>
      <w:spacing w:line="360" w:lineRule="auto"/>
      <w:ind w:firstLine="0"/>
    </w:pPr>
    <w:rPr>
      <w:rFonts w:ascii="宋体" w:hAnsi="宋体" w:eastAsia="宋体" w:cs="微软雅黑"/>
      <w:kern w:val="0"/>
      <w:sz w:val="24"/>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3">
    <w:name w:val="页眉 字符"/>
    <w:basedOn w:val="12"/>
    <w:link w:val="9"/>
    <w:qFormat/>
    <w:uiPriority w:val="99"/>
    <w:rPr>
      <w:sz w:val="18"/>
      <w:szCs w:val="18"/>
    </w:rPr>
  </w:style>
  <w:style w:type="character" w:customStyle="1" w:styleId="14">
    <w:name w:val="页脚 字符"/>
    <w:basedOn w:val="12"/>
    <w:link w:val="8"/>
    <w:qFormat/>
    <w:uiPriority w:val="99"/>
    <w:rPr>
      <w:sz w:val="18"/>
      <w:szCs w:val="18"/>
    </w:rPr>
  </w:style>
  <w:style w:type="character" w:customStyle="1" w:styleId="15">
    <w:name w:val="批注框文本 字符"/>
    <w:basedOn w:val="12"/>
    <w:link w:val="7"/>
    <w:semiHidden/>
    <w:qFormat/>
    <w:uiPriority w:val="99"/>
    <w:rPr>
      <w:sz w:val="18"/>
      <w:szCs w:val="18"/>
    </w:rPr>
  </w:style>
  <w:style w:type="character" w:customStyle="1" w:styleId="16">
    <w:name w:val="标题 1 字符"/>
    <w:basedOn w:val="12"/>
    <w:link w:val="2"/>
    <w:qFormat/>
    <w:uiPriority w:val="9"/>
    <w:rPr>
      <w:rFonts w:ascii="宋体" w:hAnsi="宋体" w:eastAsia="微软雅黑" w:cs="微软雅黑"/>
      <w:b/>
      <w:bCs/>
      <w:color w:val="000000"/>
      <w:kern w:val="0"/>
      <w:sz w:val="36"/>
      <w:szCs w:val="36"/>
    </w:rPr>
  </w:style>
  <w:style w:type="character" w:customStyle="1" w:styleId="17">
    <w:name w:val="标题 2 字符"/>
    <w:basedOn w:val="12"/>
    <w:link w:val="4"/>
    <w:qFormat/>
    <w:uiPriority w:val="9"/>
    <w:rPr>
      <w:rFonts w:ascii="宋体" w:hAnsi="宋体" w:eastAsia="微软雅黑" w:cs="微软雅黑"/>
      <w:b/>
      <w:bCs/>
      <w:kern w:val="0"/>
      <w:sz w:val="30"/>
      <w:szCs w:val="30"/>
    </w:rPr>
  </w:style>
  <w:style w:type="character" w:customStyle="1" w:styleId="18">
    <w:name w:val="标题 3 字符"/>
    <w:basedOn w:val="12"/>
    <w:link w:val="5"/>
    <w:qFormat/>
    <w:uiPriority w:val="9"/>
    <w:rPr>
      <w:rFonts w:ascii="宋体" w:hAnsi="宋体" w:eastAsia="微软雅黑" w:cs="微软雅黑"/>
      <w:b/>
      <w:bCs/>
      <w:kern w:val="0"/>
      <w:sz w:val="28"/>
      <w:szCs w:val="28"/>
    </w:rPr>
  </w:style>
  <w:style w:type="character" w:customStyle="1" w:styleId="19">
    <w:name w:val="标题 4 字符"/>
    <w:basedOn w:val="12"/>
    <w:link w:val="6"/>
    <w:qFormat/>
    <w:uiPriority w:val="9"/>
    <w:rPr>
      <w:rFonts w:ascii="宋体" w:hAnsi="宋体" w:eastAsia="宋体" w:cs="微软雅黑"/>
      <w:b/>
      <w:bCs/>
      <w:color w:val="000000"/>
      <w:kern w:val="0"/>
      <w:sz w:val="24"/>
      <w:szCs w:val="24"/>
    </w:rPr>
  </w:style>
  <w:style w:type="paragraph" w:customStyle="1" w:styleId="20">
    <w:name w:val="列出2"/>
    <w:basedOn w:val="1"/>
    <w:qFormat/>
    <w:uiPriority w:val="0"/>
    <w:pPr>
      <w:numPr>
        <w:ilvl w:val="5"/>
        <w:numId w:val="1"/>
      </w:numPr>
      <w:autoSpaceDE w:val="0"/>
      <w:autoSpaceDN w:val="0"/>
      <w:spacing w:line="360" w:lineRule="auto"/>
      <w:ind w:left="991" w:leftChars="237" w:hanging="422" w:hangingChars="176"/>
    </w:pPr>
    <w:rPr>
      <w:rFonts w:ascii="宋体" w:hAnsi="宋体" w:eastAsia="宋体" w:cs="微软雅黑"/>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A91FC-D365-495A-A4A3-5ED6349CD1C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1868</Words>
  <Characters>1981</Characters>
  <Lines>62</Lines>
  <Paragraphs>46</Paragraphs>
  <TotalTime>289</TotalTime>
  <ScaleCrop>false</ScaleCrop>
  <LinksUpToDate>false</LinksUpToDate>
  <CharactersWithSpaces>1987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2025-08-03T02:16:00Z</dcterms:created>
  <dc:creator>Administrator</dc:creator>
  <cp:lastModifiedBy>蕭凉</cp:lastModifiedBy>
  <cp:lastPrinted>2024-11-13T13:50:00Z</cp:lastPrinted>
  <dcterms:modified xsi:type="dcterms:W3CDTF">2025-10-11T05:38:56Z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eyJoZGlkIjoiNGRkNjY3YzUzYjg1ODRkMTU0ZDJjYjQyYzA0YTA4MTciLCJ1c2VySWQiOiI3NjEwODc5OTkifQ==</vt:lpwstr>
  </property>
  <property fmtid="{D5CDD505-2E9C-101B-9397-08002B2CF9AE}" pid="3" name="KSOProductBuildVer">
    <vt:lpwstr>2052-12.1.0.21915</vt:lpwstr>
  </property>
  <property fmtid="{D5CDD505-2E9C-101B-9397-08002B2CF9AE}" pid="4" name="ICV">
    <vt:lpwstr>569D0EFC835C4529A11A523FA32BB557_12</vt:lpwstr>
  </property>
</Properties>
</file>