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C4E86C">
      <w:pPr>
        <w:spacing w:after="0" w:line="307" w:lineRule="auto"/>
        <w:ind w:left="3792" w:hanging="3792"/>
        <w:jc w:val="center"/>
        <w:rPr>
          <w:rFonts w:hint="default" w:ascii="Times New Roman" w:hAnsi="Times New Roman" w:eastAsia="方正公文小标宋" w:cs="Times New Roman"/>
          <w:b w:val="0"/>
          <w:bCs/>
          <w:sz w:val="44"/>
          <w:szCs w:val="44"/>
        </w:rPr>
      </w:pPr>
      <w:r>
        <w:rPr>
          <w:rFonts w:hint="default" w:ascii="Times New Roman" w:hAnsi="Times New Roman" w:eastAsia="方正公文小标宋" w:cs="Times New Roman"/>
          <w:b w:val="0"/>
          <w:bCs/>
          <w:sz w:val="44"/>
          <w:szCs w:val="44"/>
        </w:rPr>
        <w:t>《庄河市城山镇菜园村村庄规划</w:t>
      </w:r>
    </w:p>
    <w:p w14:paraId="77819F59">
      <w:pPr>
        <w:spacing w:after="0" w:line="307" w:lineRule="auto"/>
        <w:ind w:left="3792" w:hanging="3792"/>
        <w:jc w:val="center"/>
        <w:rPr>
          <w:rFonts w:hint="default" w:ascii="Times New Roman" w:hAnsi="Times New Roman" w:eastAsia="方正公文小标宋" w:cs="Times New Roman"/>
          <w:b w:val="0"/>
          <w:bCs/>
          <w:sz w:val="44"/>
          <w:szCs w:val="44"/>
        </w:rPr>
      </w:pPr>
      <w:r>
        <w:rPr>
          <w:rFonts w:hint="default" w:ascii="Times New Roman" w:hAnsi="Times New Roman" w:eastAsia="方正公文小标宋" w:cs="Times New Roman"/>
          <w:b w:val="0"/>
          <w:bCs/>
          <w:sz w:val="44"/>
          <w:szCs w:val="44"/>
        </w:rPr>
        <w:t>（2021-2035年）》公告</w:t>
      </w:r>
    </w:p>
    <w:p w14:paraId="1B72D4EB">
      <w:pPr>
        <w:pStyle w:val="2"/>
        <w:ind w:left="304" w:leftChars="95" w:firstLine="307" w:firstLineChars="96"/>
        <w:rPr>
          <w:b w:val="0"/>
          <w:bCs/>
        </w:rPr>
      </w:pPr>
      <w:r>
        <w:rPr>
          <w:b w:val="0"/>
          <w:bCs/>
        </w:rPr>
        <w:t>一、基本情况</w:t>
      </w:r>
    </w:p>
    <w:p w14:paraId="1340C9B6">
      <w:pPr>
        <w:widowControl w:val="0"/>
        <w:overflowPunct w:val="0"/>
        <w:autoSpaceDN w:val="0"/>
        <w:ind w:left="-15" w:firstLine="641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1.区域位置</w:t>
      </w:r>
    </w:p>
    <w:p w14:paraId="00EF2E59">
      <w:pPr>
        <w:widowControl w:val="0"/>
        <w:overflowPunct w:val="0"/>
        <w:autoSpaceDN w:val="0"/>
        <w:ind w:left="-15" w:firstLine="641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菜园村位于庄河市城山镇西北部，菜园村对外交通联系主要通过荷城线。距大连市主城区约122公里，距庄河市区约39公里。</w:t>
      </w:r>
    </w:p>
    <w:p w14:paraId="36493912">
      <w:pPr>
        <w:widowControl w:val="0"/>
        <w:overflowPunct w:val="0"/>
        <w:autoSpaceDN w:val="0"/>
        <w:spacing w:after="152" w:line="259" w:lineRule="auto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2.规划范围</w:t>
      </w:r>
    </w:p>
    <w:p w14:paraId="6E5388B1">
      <w:pPr>
        <w:widowControl w:val="0"/>
        <w:overflowPunct w:val="0"/>
        <w:autoSpaceDN w:val="0"/>
        <w:ind w:left="-15" w:firstLine="641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规划范围为城山镇菜园村全域国土空间，东邻城山镇古城村，北邻荷花山镇，西、南和普兰店区墨盘街道隔碧流河相望，总规划面积约为</w:t>
      </w:r>
      <w:r>
        <w:rPr>
          <w:rFonts w:hint="default" w:ascii="Times New Roman" w:hAnsi="Times New Roman" w:eastAsia="方正仿宋_GB2312" w:cs="Times New Roman"/>
        </w:rPr>
        <w:t>19.56</w:t>
      </w:r>
      <w:r>
        <w:rPr>
          <w:rFonts w:hint="default" w:ascii="Times New Roman" w:hAnsi="Times New Roman" w:eastAsia="方正仿宋_GB2312" w:cs="Times New Roman"/>
          <w:szCs w:val="28"/>
        </w:rPr>
        <w:t>平方公里。</w:t>
      </w:r>
    </w:p>
    <w:p w14:paraId="0B55AE95">
      <w:pPr>
        <w:widowControl w:val="0"/>
        <w:overflowPunct w:val="0"/>
        <w:autoSpaceDN w:val="0"/>
        <w:spacing w:after="152" w:line="259" w:lineRule="auto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3.规划期限</w:t>
      </w:r>
    </w:p>
    <w:p w14:paraId="7D3D469B">
      <w:pPr>
        <w:widowControl w:val="0"/>
        <w:overflowPunct w:val="0"/>
        <w:autoSpaceDN w:val="0"/>
        <w:spacing w:after="152" w:line="259" w:lineRule="auto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规划近期至2025年，远期至2035年。</w:t>
      </w:r>
    </w:p>
    <w:p w14:paraId="27FCA5BE">
      <w:pPr>
        <w:pStyle w:val="2"/>
        <w:ind w:left="320" w:leftChars="100" w:firstLine="627" w:firstLineChars="196"/>
        <w:rPr>
          <w:b w:val="0"/>
          <w:bCs/>
        </w:rPr>
      </w:pPr>
      <w:r>
        <w:rPr>
          <w:b w:val="0"/>
          <w:bCs/>
        </w:rPr>
        <w:t>二、国土空间管控</w:t>
      </w:r>
    </w:p>
    <w:p w14:paraId="42D749C0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《大连市庄河市城山镇国土空间总体规划（2021-2035年）》将菜园村定位为特色保护类村庄。明确菜园村2035年约束性指标包括：永久基本农田面积611.50公顷，耕地保有量677.21公顷，生态保护红线面积265.62公顷，湿地面积175.68公顷，村庄建设边界面积135.46公顷。</w:t>
      </w:r>
    </w:p>
    <w:p w14:paraId="66D2CAC9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1.生态保护空间</w:t>
      </w:r>
    </w:p>
    <w:p w14:paraId="231FB887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明确生态保护红线265.62公顷，构建具有连续性和系统性的生态保护格局和开敞空间体系，维护生态安全和生物多样性。</w:t>
      </w:r>
    </w:p>
    <w:p w14:paraId="390A80B4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2.农业发展空间</w:t>
      </w:r>
    </w:p>
    <w:p w14:paraId="37E623EA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划定永久基本农田611.50公顷。优化农业生产空间布局，提高就近粮食保障能力和蔬菜自给率，保护相对集中、连片、优质的一般耕地。</w:t>
      </w:r>
    </w:p>
    <w:p w14:paraId="45A0BBDA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3.建设发展空间</w:t>
      </w:r>
    </w:p>
    <w:p w14:paraId="13751B5F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整理村庄发展空间135.46公顷，全部为村庄建设边界范围。乡村建设围绕乡村振兴、产村融合向村庄建设用地边界内集聚，鼓励乡村建设用地复合利用。</w:t>
      </w:r>
    </w:p>
    <w:p w14:paraId="2DAF0379">
      <w:pPr>
        <w:pStyle w:val="2"/>
        <w:ind w:left="0" w:leftChars="0" w:firstLine="640" w:firstLineChars="200"/>
        <w:rPr>
          <w:b w:val="0"/>
          <w:bCs/>
        </w:rPr>
      </w:pPr>
      <w:r>
        <w:rPr>
          <w:b w:val="0"/>
          <w:bCs/>
        </w:rPr>
        <w:t>三、村域空间发展规划</w:t>
      </w:r>
    </w:p>
    <w:p w14:paraId="68696304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  <w:lang w:eastAsia="zh-CN"/>
        </w:rPr>
      </w:pPr>
      <w:r>
        <w:rPr>
          <w:rFonts w:hint="default" w:ascii="Times New Roman" w:hAnsi="Times New Roman" w:eastAsia="方正仿宋_GB2312" w:cs="Times New Roman"/>
          <w:szCs w:val="28"/>
        </w:rPr>
        <w:t>1.产业发展：菜园村产业以生态本底基础，大力发展生态农业，文化旅游业，适量发展滨河旅游、农业采摘体验游等产业，促进农村一二三产业融合发展</w:t>
      </w:r>
      <w:r>
        <w:rPr>
          <w:rFonts w:hint="default" w:ascii="Times New Roman" w:hAnsi="Times New Roman" w:eastAsia="方正仿宋_GB2312" w:cs="Times New Roman"/>
          <w:szCs w:val="28"/>
          <w:lang w:eastAsia="zh-CN"/>
        </w:rPr>
        <w:t>。</w:t>
      </w:r>
    </w:p>
    <w:p w14:paraId="73D621B7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（1）第一产业</w:t>
      </w:r>
    </w:p>
    <w:p w14:paraId="0938F2A4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耕地保护+休闲农业：加强耕地保护，推动农业产业化、规模化。利用自然田园风光资源，积极开展乡村休闲农业。</w:t>
      </w:r>
    </w:p>
    <w:p w14:paraId="3DF7C2A4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（2）第二产业</w:t>
      </w:r>
    </w:p>
    <w:p w14:paraId="1192B0B7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大力发展农产品初加工、农产品仓储物流业，提升技术水平，形成产业链条。鼓励个人和企业加大投入，引进先进的仓储保鲜技术，提高产品的质量和安全性。</w:t>
      </w:r>
    </w:p>
    <w:p w14:paraId="7C1933C3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（3）第三产业</w:t>
      </w:r>
    </w:p>
    <w:p w14:paraId="03DB5639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依靠自身的自然资源，打造文化观光区、滨河休闲带，通过旅游路线打造，与城山古城形成联动，带动菜园村旅游发展，提高旅游配套设施水平，实现一二三产业的融合发展。</w:t>
      </w:r>
    </w:p>
    <w:p w14:paraId="42D1236D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2.人口规模</w:t>
      </w:r>
    </w:p>
    <w:p w14:paraId="1456715D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至规划期末2035年，人口总数估算为1200人。</w:t>
      </w:r>
    </w:p>
    <w:p w14:paraId="07A77779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3.空间发展布局</w:t>
      </w:r>
    </w:p>
    <w:p w14:paraId="143CEB12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 xml:space="preserve">形成“一心、一轴、两带、多片”的规划空间结构。具体包括： </w:t>
      </w:r>
    </w:p>
    <w:p w14:paraId="15DDA93C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一心：行政综合中心；</w:t>
      </w:r>
    </w:p>
    <w:p w14:paraId="77615110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 xml:space="preserve">一轴：沿乡道荷城线形成的乡村发展轴； </w:t>
      </w:r>
    </w:p>
    <w:p w14:paraId="0AA1196F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两带：沿碧流河、夹河形成的两条滨水景观带；</w:t>
      </w:r>
    </w:p>
    <w:p w14:paraId="0386B7C0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多片：田园经济片区、乡村居住片区，林下经济片区，菜园子土城址文化旅游片区。</w:t>
      </w:r>
    </w:p>
    <w:p w14:paraId="3DF813DE">
      <w:pPr>
        <w:widowControl w:val="0"/>
        <w:overflowPunct w:val="0"/>
        <w:autoSpaceDN w:val="0"/>
        <w:ind w:left="-15" w:firstLine="640" w:firstLineChars="200"/>
        <w:jc w:val="both"/>
        <w:rPr>
          <w:rFonts w:hint="eastAsia" w:ascii="黑体" w:hAnsi="黑体" w:eastAsia="黑体" w:cs="黑体"/>
          <w:b w:val="0"/>
          <w:bCs/>
        </w:rPr>
      </w:pPr>
      <w:r>
        <w:rPr>
          <w:rFonts w:hint="eastAsia" w:ascii="黑体" w:hAnsi="黑体" w:eastAsia="黑体" w:cs="黑体"/>
          <w:b w:val="0"/>
          <w:bCs/>
        </w:rPr>
        <w:t>四、人居环境整治规划</w:t>
      </w:r>
    </w:p>
    <w:p w14:paraId="3B959901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人居环境整治主要对象是规划中已经集中布局的村庄居民点，结合农民生产生活方式，从土地综合整治、公共安全治理、公共设施完善、公用设施布局、景观风貌和建筑风貌美化等角度对村庄人居环境进行规划设计。</w:t>
      </w:r>
    </w:p>
    <w:p w14:paraId="442EA4EA">
      <w:pPr>
        <w:pStyle w:val="2"/>
        <w:ind w:left="304" w:leftChars="95" w:firstLine="307" w:firstLineChars="96"/>
        <w:rPr>
          <w:b w:val="0"/>
          <w:bCs/>
        </w:rPr>
      </w:pPr>
      <w:r>
        <w:rPr>
          <w:b w:val="0"/>
          <w:bCs/>
        </w:rPr>
        <w:t>五、近期整治规划</w:t>
      </w:r>
    </w:p>
    <w:p w14:paraId="4181006C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t>近期实施主要从公共服务设施和公用服务设施角度进行完善和提升，适度展开土地整治、生态修复、基础设施和产业发展等项目。主要增加项目包括按照15分钟生活圈布置的健身广场、消防设施点、应急避难场所、道路硬化亮化等。</w:t>
      </w:r>
    </w:p>
    <w:p w14:paraId="779D784C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</w:p>
    <w:p w14:paraId="6D04B6D9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</w:p>
    <w:p w14:paraId="5E6B81A6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</w:p>
    <w:p w14:paraId="65D7DA69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</w:p>
    <w:p w14:paraId="71B247DB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</w:p>
    <w:p w14:paraId="7358BE80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</w:p>
    <w:p w14:paraId="32B6374B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</w:p>
    <w:p w14:paraId="5DBCF113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</w:p>
    <w:p w14:paraId="74384827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</w:p>
    <w:p w14:paraId="2C7D617A">
      <w:pPr>
        <w:widowControl w:val="0"/>
        <w:overflowPunct w:val="0"/>
        <w:autoSpaceDN w:val="0"/>
        <w:ind w:left="-15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bookmarkStart w:id="2" w:name="_GoBack"/>
      <w:bookmarkEnd w:id="2"/>
    </w:p>
    <w:p w14:paraId="69EECE74">
      <w:pPr>
        <w:pStyle w:val="2"/>
        <w:ind w:left="0" w:leftChars="0" w:firstLine="640" w:firstLineChars="200"/>
        <w:rPr>
          <w:b w:val="0"/>
          <w:bCs/>
        </w:rPr>
      </w:pPr>
      <w:r>
        <w:rPr>
          <w:b w:val="0"/>
          <w:bCs/>
        </w:rPr>
        <w:t>六、附图</w:t>
      </w:r>
    </w:p>
    <w:p w14:paraId="2D8217E3">
      <w:pPr>
        <w:widowControl w:val="0"/>
        <w:overflowPunct w:val="0"/>
        <w:autoSpaceDN w:val="0"/>
        <w:spacing w:after="0" w:line="240" w:lineRule="auto"/>
        <w:ind w:left="0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330835</wp:posOffset>
            </wp:positionV>
            <wp:extent cx="5039995" cy="3510280"/>
            <wp:effectExtent l="0" t="0" r="8255" b="0"/>
            <wp:wrapTopAndBottom/>
            <wp:docPr id="7" name="图片 7" descr="G:\QiangYao\NewWorks\2024\2_项目\14_庄河村庄规划\06_城山镇菜园村\03_图纸\01区位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:\QiangYao\NewWorks\2024\2_项目\14_庄河村庄规划\06_城山镇菜园村\03_图纸\01区位示意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" t="928" r="748" b="197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2312" w:cs="Times New Roman"/>
          <w:szCs w:val="28"/>
        </w:rPr>
        <w:t>1.区位图</w:t>
      </w:r>
    </w:p>
    <w:p w14:paraId="798746B5">
      <w:pPr>
        <w:widowControl w:val="0"/>
        <w:overflowPunct w:val="0"/>
        <w:autoSpaceDN w:val="0"/>
        <w:ind w:left="10" w:hangingChars="3"/>
        <w:jc w:val="both"/>
        <w:rPr>
          <w:rFonts w:ascii="仿宋" w:hAnsi="仿宋" w:eastAsia="仿宋"/>
          <w:szCs w:val="28"/>
        </w:rPr>
      </w:pPr>
    </w:p>
    <w:p w14:paraId="60A9E8EC">
      <w:pPr>
        <w:widowControl w:val="0"/>
        <w:overflowPunct w:val="0"/>
        <w:autoSpaceDN w:val="0"/>
        <w:ind w:left="317" w:leftChars="99" w:firstLine="310" w:firstLineChars="97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428625</wp:posOffset>
            </wp:positionV>
            <wp:extent cx="5039995" cy="3394710"/>
            <wp:effectExtent l="0" t="0" r="8255" b="0"/>
            <wp:wrapTopAndBottom/>
            <wp:docPr id="8" name="图片 8" descr="G:\QiangYao\NewWorks\2024\2_项目\14_庄河村庄规划\06_城山镇菜园村\03_图纸\03各类控制线管控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QiangYao\NewWorks\2024\2_项目\14_庄河村庄规划\06_城山镇菜园村\03_图纸\03各类控制线管控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" b="344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2312" w:cs="Times New Roman"/>
          <w:szCs w:val="28"/>
        </w:rPr>
        <w:t>2.边界划定与管控图</w:t>
      </w:r>
    </w:p>
    <w:p w14:paraId="77332E55">
      <w:pPr>
        <w:widowControl w:val="0"/>
        <w:overflowPunct w:val="0"/>
        <w:autoSpaceDN w:val="0"/>
        <w:ind w:left="317" w:leftChars="99" w:firstLine="310" w:firstLineChars="97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180975</wp:posOffset>
            </wp:positionH>
            <wp:positionV relativeFrom="page">
              <wp:posOffset>1460500</wp:posOffset>
            </wp:positionV>
            <wp:extent cx="5039995" cy="3560445"/>
            <wp:effectExtent l="0" t="0" r="8255" b="254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2312" w:cs="Times New Roman"/>
          <w:szCs w:val="28"/>
        </w:rPr>
        <w:t>3.村域空间结构规划图</w:t>
      </w:r>
    </w:p>
    <w:p w14:paraId="4FE4E3AD">
      <w:pPr>
        <w:spacing w:after="268" w:line="259" w:lineRule="auto"/>
        <w:ind w:left="0" w:firstLine="0"/>
      </w:pPr>
    </w:p>
    <w:p w14:paraId="5BEF6149">
      <w:pPr>
        <w:widowControl w:val="0"/>
        <w:overflowPunct w:val="0"/>
        <w:autoSpaceDN w:val="0"/>
        <w:spacing w:after="0" w:line="240" w:lineRule="auto"/>
        <w:ind w:left="0" w:firstLine="640" w:firstLineChars="2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426720</wp:posOffset>
            </wp:positionV>
            <wp:extent cx="5038725" cy="3390265"/>
            <wp:effectExtent l="0" t="0" r="9525" b="635"/>
            <wp:wrapTopAndBottom/>
            <wp:docPr id="9" name="图片 9" descr="G:\QiangYao\NewWorks\2024\2_项目\14_庄河村庄规划\06_城山镇菜园村\03_图纸\06村域国土空间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:\QiangYao\NewWorks\2024\2_项目\14_庄河村庄规划\06_城山镇菜园村\03_图纸\06村域国土空间规划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" b="342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2312" w:cs="Times New Roman"/>
          <w:szCs w:val="28"/>
        </w:rPr>
        <w:t>4.村域国土空间规划图</w:t>
      </w:r>
    </w:p>
    <w:p w14:paraId="3D2F66EF">
      <w:pPr>
        <w:spacing w:after="0" w:line="259" w:lineRule="auto"/>
        <w:ind w:left="0" w:firstLine="0"/>
      </w:pPr>
    </w:p>
    <w:p w14:paraId="4CCD1890">
      <w:pPr>
        <w:widowControl w:val="0"/>
        <w:overflowPunct w:val="0"/>
        <w:autoSpaceDN w:val="0"/>
        <w:ind w:left="0" w:leftChars="0" w:firstLine="320" w:firstLineChars="100"/>
        <w:jc w:val="both"/>
        <w:rPr>
          <w:rFonts w:hint="default" w:ascii="Times New Roman" w:hAnsi="Times New Roman" w:eastAsia="方正仿宋_GB2312" w:cs="Times New Roman"/>
          <w:szCs w:val="28"/>
        </w:rPr>
      </w:pPr>
      <w:bookmarkStart w:id="0" w:name="OLE_LINK3"/>
      <w:bookmarkStart w:id="1" w:name="OLE_LINK4"/>
      <w:r>
        <w:rPr>
          <w:rFonts w:hint="default" w:ascii="Times New Roman" w:hAnsi="Times New Roman" w:eastAsia="方正仿宋_GB2312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436245</wp:posOffset>
            </wp:positionV>
            <wp:extent cx="5039995" cy="3390900"/>
            <wp:effectExtent l="0" t="0" r="8255" b="0"/>
            <wp:wrapTopAndBottom/>
            <wp:docPr id="10" name="图片 10" descr="G:\QiangYao\NewWorks\2024\2_项目\14_庄河村庄规划\06_城山镇菜园村\03_图纸\07产业空间发展引导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G:\QiangYao\NewWorks\2024\2_项目\14_庄河村庄规划\06_城山镇菜园村\03_图纸\07产业空间发展引导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" b="328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2312" w:cs="Times New Roman"/>
          <w:szCs w:val="28"/>
        </w:rPr>
        <w:t>5.产业空间发展引导图</w:t>
      </w:r>
    </w:p>
    <w:bookmarkEnd w:id="0"/>
    <w:bookmarkEnd w:id="1"/>
    <w:p w14:paraId="5F39C749">
      <w:pPr>
        <w:widowControl w:val="0"/>
        <w:overflowPunct w:val="0"/>
        <w:autoSpaceDN w:val="0"/>
        <w:ind w:left="10" w:hangingChars="3"/>
        <w:jc w:val="both"/>
        <w:rPr>
          <w:rFonts w:ascii="仿宋" w:hAnsi="仿宋" w:eastAsia="仿宋"/>
          <w:szCs w:val="28"/>
        </w:rPr>
      </w:pPr>
    </w:p>
    <w:p w14:paraId="327D2604">
      <w:pPr>
        <w:widowControl w:val="0"/>
        <w:overflowPunct w:val="0"/>
        <w:autoSpaceDN w:val="0"/>
        <w:spacing w:after="0" w:line="240" w:lineRule="auto"/>
        <w:ind w:left="0" w:firstLine="320" w:firstLineChars="100"/>
        <w:jc w:val="both"/>
        <w:rPr>
          <w:rFonts w:hint="default" w:ascii="Times New Roman" w:hAnsi="Times New Roman" w:eastAsia="方正仿宋_GB2312" w:cs="Times New Roman"/>
          <w:szCs w:val="28"/>
        </w:rPr>
      </w:pPr>
      <w:r>
        <w:rPr>
          <w:rFonts w:hint="default" w:ascii="Times New Roman" w:hAnsi="Times New Roman" w:eastAsia="方正仿宋_GB2312" w:cs="Times New Roma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352425</wp:posOffset>
            </wp:positionV>
            <wp:extent cx="5039995" cy="3560445"/>
            <wp:effectExtent l="0" t="0" r="8255" b="254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2312" w:cs="Times New Roman"/>
          <w:szCs w:val="28"/>
        </w:rPr>
        <w:t>6.村民版规划图</w:t>
      </w:r>
    </w:p>
    <w:sectPr>
      <w:pgSz w:w="11906" w:h="16838"/>
      <w:pgMar w:top="1594" w:right="1440" w:bottom="1672" w:left="18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</w:p>
  </w:endnote>
  <w:endnote w:type="continuationSeparator" w:id="1">
    <w:p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8FCDE66-591D-4503-8F41-7AFD4BED03B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5AAEED8F-5E8F-48B5-9125-2059DAB19760}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  <w:embedRegular r:id="rId3" w:fontKey="{638A47F7-A5C0-488C-B3CC-CBD77EE4C97D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4" w:fontKey="{BECED76B-E67D-43B9-B95F-B1960B6C0763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D12049F3-A8CF-419E-91DE-19FEF9B96C4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47" w:lineRule="auto"/>
      </w:pPr>
    </w:p>
  </w:footnote>
  <w:footnote w:type="continuationSeparator" w:id="1">
    <w:p>
      <w:pPr>
        <w:spacing w:before="0" w:after="0" w:line="347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DD2"/>
    <w:rsid w:val="000516EE"/>
    <w:rsid w:val="0018765C"/>
    <w:rsid w:val="002134AA"/>
    <w:rsid w:val="0027389C"/>
    <w:rsid w:val="00295C76"/>
    <w:rsid w:val="002A7D89"/>
    <w:rsid w:val="003E4F91"/>
    <w:rsid w:val="00421F9D"/>
    <w:rsid w:val="00433713"/>
    <w:rsid w:val="00531BE5"/>
    <w:rsid w:val="00546516"/>
    <w:rsid w:val="00573DE3"/>
    <w:rsid w:val="0057785D"/>
    <w:rsid w:val="005F1EA1"/>
    <w:rsid w:val="006032D6"/>
    <w:rsid w:val="006670DC"/>
    <w:rsid w:val="006929D9"/>
    <w:rsid w:val="006A7F9F"/>
    <w:rsid w:val="006B2008"/>
    <w:rsid w:val="00712201"/>
    <w:rsid w:val="007455CD"/>
    <w:rsid w:val="007503AB"/>
    <w:rsid w:val="00752038"/>
    <w:rsid w:val="00786437"/>
    <w:rsid w:val="007C5CF2"/>
    <w:rsid w:val="00810489"/>
    <w:rsid w:val="008125F8"/>
    <w:rsid w:val="00826DD2"/>
    <w:rsid w:val="008704D1"/>
    <w:rsid w:val="008D13E6"/>
    <w:rsid w:val="00944156"/>
    <w:rsid w:val="0096767E"/>
    <w:rsid w:val="00A36C21"/>
    <w:rsid w:val="00A5336B"/>
    <w:rsid w:val="00A56BE3"/>
    <w:rsid w:val="00B11F16"/>
    <w:rsid w:val="00D4376D"/>
    <w:rsid w:val="00D81055"/>
    <w:rsid w:val="00DD2FCD"/>
    <w:rsid w:val="00E11FF8"/>
    <w:rsid w:val="00E63F18"/>
    <w:rsid w:val="00EF7802"/>
    <w:rsid w:val="00F06E7D"/>
    <w:rsid w:val="00F63922"/>
    <w:rsid w:val="00F7297E"/>
    <w:rsid w:val="00FC78A5"/>
    <w:rsid w:val="18052F2E"/>
    <w:rsid w:val="185F68A1"/>
    <w:rsid w:val="2C84068C"/>
    <w:rsid w:val="3B6405FB"/>
    <w:rsid w:val="579D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3" w:line="347" w:lineRule="auto"/>
      <w:ind w:left="651" w:hanging="10"/>
    </w:pPr>
    <w:rPr>
      <w:rFonts w:ascii="仿宋" w:hAnsi="仿宋" w:eastAsia="仿宋" w:cs="仿宋"/>
      <w:color w:val="000000"/>
      <w:kern w:val="2"/>
      <w:sz w:val="32"/>
      <w:szCs w:val="22"/>
      <w:lang w:val="en-US" w:eastAsia="zh-CN" w:bidi="ar-SA"/>
    </w:rPr>
  </w:style>
  <w:style w:type="paragraph" w:styleId="2">
    <w:name w:val="heading 1"/>
    <w:next w:val="1"/>
    <w:link w:val="8"/>
    <w:unhideWhenUsed/>
    <w:qFormat/>
    <w:uiPriority w:val="9"/>
    <w:pPr>
      <w:keepNext/>
      <w:keepLines/>
      <w:spacing w:after="157" w:line="259" w:lineRule="auto"/>
      <w:ind w:left="10" w:hanging="10"/>
      <w:outlineLvl w:val="0"/>
    </w:pPr>
    <w:rPr>
      <w:rFonts w:ascii="黑体" w:hAnsi="黑体" w:eastAsia="黑体" w:cs="黑体"/>
      <w:color w:val="000000"/>
      <w:kern w:val="2"/>
      <w:sz w:val="3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  <w:ind w:left="0" w:firstLine="0"/>
    </w:pPr>
    <w:rPr>
      <w:rFonts w:ascii="宋体" w:hAnsi="宋体" w:eastAsia="宋体" w:cs="宋体"/>
      <w:color w:val="auto"/>
      <w:kern w:val="0"/>
      <w:sz w:val="24"/>
      <w:szCs w:val="24"/>
    </w:rPr>
  </w:style>
  <w:style w:type="character" w:customStyle="1" w:styleId="8">
    <w:name w:val="标题 1 字符"/>
    <w:link w:val="2"/>
    <w:qFormat/>
    <w:uiPriority w:val="0"/>
    <w:rPr>
      <w:rFonts w:ascii="黑体" w:hAnsi="黑体" w:eastAsia="黑体" w:cs="黑体"/>
      <w:color w:val="000000"/>
      <w:sz w:val="32"/>
    </w:rPr>
  </w:style>
  <w:style w:type="character" w:customStyle="1" w:styleId="9">
    <w:name w:val="页眉 字符"/>
    <w:basedOn w:val="7"/>
    <w:link w:val="4"/>
    <w:qFormat/>
    <w:uiPriority w:val="99"/>
    <w:rPr>
      <w:rFonts w:ascii="仿宋" w:hAnsi="仿宋" w:eastAsia="仿宋" w:cs="仿宋"/>
      <w:color w:val="000000"/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rFonts w:ascii="仿宋" w:hAnsi="仿宋" w:eastAsia="仿宋" w:cs="仿宋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1195</Words>
  <Characters>1289</Characters>
  <Lines>9</Lines>
  <Paragraphs>2</Paragraphs>
  <TotalTime>277</TotalTime>
  <ScaleCrop>false</ScaleCrop>
  <LinksUpToDate>false</LinksUpToDate>
  <CharactersWithSpaces>1291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2025-07-16T05:47:00Z</dcterms:created>
  <dc:creator>Administrator</dc:creator>
  <cp:lastModifiedBy>大瓶盖</cp:lastModifiedBy>
  <dcterms:modified xsi:type="dcterms:W3CDTF">2025-07-29T06:50:02Z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eyJoZGlkIjoiYjdiMGYwODAxZGQ5ZGE3ZWE5ZmQwZGQyMjc4NmNjYmMiLCJ1c2VySWQiOiI0MzU1MzQ5NDAifQ==</vt:lpwstr>
  </property>
  <property fmtid="{D5CDD505-2E9C-101B-9397-08002B2CF9AE}" pid="3" name="KSOProductBuildVer">
    <vt:lpwstr>2052-12.1.0.21915</vt:lpwstr>
  </property>
  <property fmtid="{D5CDD505-2E9C-101B-9397-08002B2CF9AE}" pid="4" name="ICV">
    <vt:lpwstr>DD62E9978E7443CABA38125D4A79BEF3_12</vt:lpwstr>
  </property>
</Properties>
</file>