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07B01">
      <w:pPr>
        <w:spacing w:before="107" w:line="209" w:lineRule="auto"/>
        <w:ind w:left="42"/>
        <w:jc w:val="center"/>
        <w:rPr>
          <w:rFonts w:hint="default" w:ascii="Times New Roman" w:hAnsi="Times New Roman" w:eastAsia="方正公文小标宋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公文小标宋" w:cs="Times New Roman"/>
          <w:sz w:val="44"/>
          <w:szCs w:val="44"/>
          <w:lang w:eastAsia="zh-CN"/>
        </w:rPr>
        <w:t>《庄河市城山镇城山村村庄规划</w:t>
      </w:r>
    </w:p>
    <w:p w14:paraId="62A3A5E9">
      <w:pPr>
        <w:spacing w:before="107" w:line="209" w:lineRule="auto"/>
        <w:ind w:left="42"/>
        <w:jc w:val="center"/>
        <w:rPr>
          <w:rFonts w:hint="default" w:ascii="Times New Roman" w:hAnsi="Times New Roman" w:eastAsia="方正公文小标宋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公文小标宋" w:cs="Times New Roman"/>
          <w:sz w:val="44"/>
          <w:szCs w:val="44"/>
          <w:lang w:eastAsia="zh-CN"/>
        </w:rPr>
        <w:t>（2021-2035年）》</w:t>
      </w:r>
      <w:r>
        <w:rPr>
          <w:rFonts w:hint="default" w:ascii="Times New Roman" w:hAnsi="Times New Roman" w:eastAsia="方正公文小标宋" w:cs="Times New Roman"/>
          <w:spacing w:val="5"/>
          <w:sz w:val="44"/>
          <w:szCs w:val="44"/>
          <w:lang w:eastAsia="zh-CN"/>
        </w:rPr>
        <w:t>公告</w:t>
      </w:r>
    </w:p>
    <w:p w14:paraId="769183FA">
      <w:pPr>
        <w:keepNext w:val="0"/>
        <w:keepLines w:val="0"/>
        <w:pageBreakBefore w:val="0"/>
        <w:wordWrap/>
        <w:overflowPunct/>
        <w:topLinePunct w:val="0"/>
        <w:bidi w:val="0"/>
        <w:spacing w:before="213" w:line="600" w:lineRule="exact"/>
        <w:ind w:left="30" w:firstLine="616" w:firstLineChars="200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-6"/>
          <w:sz w:val="32"/>
          <w:szCs w:val="32"/>
          <w:lang w:eastAsia="zh-CN"/>
        </w:rPr>
        <w:t>一、基本情况</w:t>
      </w:r>
    </w:p>
    <w:p w14:paraId="0D3B14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1.区域位置</w:t>
      </w:r>
    </w:p>
    <w:p w14:paraId="20D583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城山镇位于庄河市西北部，距庄河主城区37公里。南与大郑镇、明阳街道接壤，西依碧流河与金普新区的双塔、磨盘二乡镇隔河相望，东与光明山镇为邻，北与荷花山镇、长岭镇毗邻。福明公路、荷城公路穿越境内，当铺河、东沙河、夹河</w:t>
      </w: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val="en-US" w:eastAsia="zh-CN"/>
        </w:rPr>
        <w:t>流</w:t>
      </w: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经各村，汇入碧流河，是淡水资源丰富的山区乡镇。</w:t>
      </w:r>
    </w:p>
    <w:p w14:paraId="649E6D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城山村地处庄河市西北部，城山镇中心位置，是镇政府所在地。距大连主城区约180公里，距庄河主城区约37公里。</w:t>
      </w:r>
    </w:p>
    <w:p w14:paraId="2D89C8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2.规划范围</w:t>
      </w:r>
    </w:p>
    <w:p w14:paraId="6B0C89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本次庄河市城山镇城山村村庄规划的规划范围为城山村全域范围，共计2257.24公顷。</w:t>
      </w:r>
    </w:p>
    <w:p w14:paraId="628AEA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3.规划期限</w:t>
      </w:r>
    </w:p>
    <w:p w14:paraId="6CCAF8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规划基期2020年，近期至2025年，远期至2035年。</w:t>
      </w:r>
    </w:p>
    <w:p w14:paraId="0C7ED0F0">
      <w:pPr>
        <w:keepNext w:val="0"/>
        <w:keepLines w:val="0"/>
        <w:pageBreakBefore w:val="0"/>
        <w:wordWrap/>
        <w:overflowPunct/>
        <w:topLinePunct w:val="0"/>
        <w:bidi w:val="0"/>
        <w:spacing w:before="264" w:line="600" w:lineRule="exact"/>
        <w:ind w:left="30" w:firstLine="620" w:firstLineChars="200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-5"/>
          <w:sz w:val="32"/>
          <w:szCs w:val="32"/>
          <w:lang w:eastAsia="zh-CN"/>
        </w:rPr>
        <w:t>二、国土空间管控</w:t>
      </w:r>
    </w:p>
    <w:p w14:paraId="16F56F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《庄河市城山镇国土空间总体规划（2021-2035年）》</w:t>
      </w: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将城山村定位为城郊融合类村庄。明确城山村2035年乡村常住人口约3460人。约束性指</w:t>
      </w:r>
      <w:bookmarkStart w:id="1" w:name="_GoBack"/>
      <w:bookmarkEnd w:id="1"/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标包括：永久基本农田面积772.59公顷，耕地保有量833.31公顷，村庄建设边界面积133.18公顷。</w:t>
      </w:r>
    </w:p>
    <w:p w14:paraId="6CC23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1.保障农业空间</w:t>
      </w:r>
    </w:p>
    <w:p w14:paraId="3E188C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农业空间是以农村居民生产生活为主要功能的国土空间，包括耕地、改良草地、人工草地、园林、农村居民点、其他农用地等。</w:t>
      </w:r>
    </w:p>
    <w:p w14:paraId="3241D2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城山村规划农业空间总面积为894.71公顷，其中耕地面积为832.7公顷，园地面积为33.74公顷，农业设施建设用地面积为28.27公顷。</w:t>
      </w:r>
    </w:p>
    <w:p w14:paraId="2FFAF0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依据上级规划指标要求，城山村内永久基本农田面积为772.59公顷，占耕地总面积的92.78%。至2035年，城山村永久基本农田面积控制为772.59公顷，耕地保有量控制为833.31公顷。</w:t>
      </w:r>
    </w:p>
    <w:p w14:paraId="184A8E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2.保护生态空间</w:t>
      </w:r>
    </w:p>
    <w:p w14:paraId="08E581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生态空间是指具有自然属性、以提供生态服务或生态产品为主体功能的国土空间，包括森林、草原、湿地、河流、湖泊、滩涂、岸线、海洋、荒地、荒漠、戈壁、冰川、高山冻原、无居民海岛等。</w:t>
      </w:r>
    </w:p>
    <w:p w14:paraId="4E448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城山村规划生态空间总面积为1162.92公顷，其中林地面积为1077.43公顷，草地面积为39.51公顷，陆地水域面积为45.98公顷。</w:t>
      </w:r>
    </w:p>
    <w:p w14:paraId="1B921E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依据上级规划指标要求，至2035年，城山村林地保有量按993.83公顷控制。</w:t>
      </w:r>
    </w:p>
    <w:p w14:paraId="1C4F4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3.优化建设空间</w:t>
      </w:r>
    </w:p>
    <w:p w14:paraId="196D50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建设空间指以城镇（乡村）居民生产生活为主体功能的国土空间，包括城镇建设用地、村庄农村生活用地、工矿建设空间以及乡村公共管理公共服务建设空间。</w:t>
      </w:r>
    </w:p>
    <w:p w14:paraId="4AD3F5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城山村规划建设空间总面积为199.61公顷，包括城镇建设用地57.01公顷，其中村庄建设用地133.18公顷，保留区的面积为75.07公顷，新增区的面积为58.11公顷，其他建设用地面积为0.96公顷，区域基础设施用地8.46公顷。</w:t>
      </w:r>
    </w:p>
    <w:p w14:paraId="716D48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依据上级规划指标要求，至2035年，城山村村庄建设边界面积控制为133.18公顷。</w:t>
      </w:r>
    </w:p>
    <w:p w14:paraId="7AA63B0A">
      <w:pPr>
        <w:keepNext w:val="0"/>
        <w:keepLines w:val="0"/>
        <w:pageBreakBefore w:val="0"/>
        <w:wordWrap/>
        <w:overflowPunct/>
        <w:topLinePunct w:val="0"/>
        <w:bidi w:val="0"/>
        <w:spacing w:before="264" w:line="600" w:lineRule="exact"/>
        <w:ind w:left="30" w:firstLine="620" w:firstLineChars="200"/>
        <w:outlineLvl w:val="0"/>
        <w:rPr>
          <w:rFonts w:hint="eastAsia" w:ascii="黑体" w:hAnsi="黑体" w:eastAsia="黑体" w:cs="黑体"/>
          <w:b w:val="0"/>
          <w:bCs w:val="0"/>
          <w:spacing w:val="-5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-5"/>
          <w:sz w:val="32"/>
          <w:szCs w:val="32"/>
          <w:lang w:eastAsia="zh-CN"/>
        </w:rPr>
        <w:t>三、村域空间发展规划</w:t>
      </w:r>
    </w:p>
    <w:p w14:paraId="3932B2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1.产业发展</w:t>
      </w:r>
    </w:p>
    <w:p w14:paraId="2FA61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val="zh-CN"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val="zh-CN" w:eastAsia="zh-CN"/>
        </w:rPr>
        <w:t>打造以粮食种植和设施农业为主导，农副产品加工业为支撑，机械加工、铸造业、住宿餐饮、批发零售等为辅助的村庄，目标将城山村打造为环境优美、功能完备、辐射力强的镇域中心村庄。</w:t>
      </w:r>
    </w:p>
    <w:p w14:paraId="1A6884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2.人口规模</w:t>
      </w:r>
    </w:p>
    <w:p w14:paraId="21A582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至规划期末2035年，</w:t>
      </w: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val="en-US" w:eastAsia="zh-CN"/>
        </w:rPr>
        <w:t>常住</w:t>
      </w: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人口约为3</w:t>
      </w: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val="en-US" w:eastAsia="zh-CN"/>
        </w:rPr>
        <w:t>460</w:t>
      </w: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人，户数为1100户。</w:t>
      </w:r>
    </w:p>
    <w:p w14:paraId="7F0F27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3.空间发展布局</w:t>
      </w:r>
    </w:p>
    <w:p w14:paraId="017997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bookmarkStart w:id="0" w:name="_Hlk146658530"/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结合村庄现状发展基础、未来发展趋势与方向，规划形成“一核两轴三片区”的总体布局。</w:t>
      </w:r>
    </w:p>
    <w:p w14:paraId="69F5AB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一核：以村委会所在地为主要核心，结合南北、东西主要道路形成的交通节点，形成村庄公共服务核心，带动城山村发展。</w:t>
      </w:r>
    </w:p>
    <w:p w14:paraId="01AE64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两轴：以荷城线和福明线作为交通发展轴，形成的村庄南北、东西方向两条经济发展带，作为未来村庄经济发展的主要载体，形成乡村风貌展示轴。</w:t>
      </w:r>
    </w:p>
    <w:p w14:paraId="025234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三片区：规划形成“山体景观片区、中部核心片区、田</w:t>
      </w:r>
      <w:r>
        <w:rPr>
          <w:rFonts w:hint="eastAsia" w:ascii="方正仿宋_GB2312" w:hAnsi="方正仿宋_GB2312" w:eastAsia="方正仿宋_GB2312" w:cs="方正仿宋_GB2312"/>
          <w:snapToGrid/>
          <w:kern w:val="2"/>
          <w:sz w:val="32"/>
          <w:szCs w:val="32"/>
          <w:lang w:eastAsia="zh-CN"/>
        </w:rPr>
        <w:t>园景观片区”多个发展片区。</w:t>
      </w:r>
    </w:p>
    <w:bookmarkEnd w:id="0"/>
    <w:p w14:paraId="62297A05">
      <w:pPr>
        <w:keepNext w:val="0"/>
        <w:keepLines w:val="0"/>
        <w:pageBreakBefore w:val="0"/>
        <w:wordWrap/>
        <w:overflowPunct/>
        <w:topLinePunct w:val="0"/>
        <w:bidi w:val="0"/>
        <w:spacing w:before="265" w:line="600" w:lineRule="exact"/>
        <w:ind w:left="43" w:firstLine="616" w:firstLineChars="200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-6"/>
          <w:sz w:val="32"/>
          <w:szCs w:val="32"/>
          <w:lang w:eastAsia="zh-CN"/>
        </w:rPr>
        <w:t>四、人居环境整治规划</w:t>
      </w:r>
    </w:p>
    <w:p w14:paraId="2E3F9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人居环境整治主要对象是规划中已经集中布局的村庄居民点，结合农民生产生活方式，从道路环境整治、重点区域亮化、净化整治、绿化景观整治、边沟整治等角度对村庄人居环境进行规划设计。</w:t>
      </w:r>
    </w:p>
    <w:p w14:paraId="216A3441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ind w:left="33" w:firstLine="620" w:firstLineChars="200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-5"/>
          <w:sz w:val="32"/>
          <w:szCs w:val="32"/>
          <w:lang w:eastAsia="zh-CN"/>
        </w:rPr>
        <w:t>五、近期整治规划</w:t>
      </w:r>
    </w:p>
    <w:p w14:paraId="67000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t>针对城山村实际建设需求、居民生产生活和生态保护面临的迫切问题，近期重点从公共服务设施、公用设施、道路工程、人居环境等方面建设项目，主要增加项目包括老年活动室、健身广场、快递投放点、公益性公墓、城山镇敬老院、河道整治、道路硬化、道路亮化。</w:t>
      </w:r>
    </w:p>
    <w:p w14:paraId="458882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napToGrid/>
          <w:kern w:val="2"/>
          <w:sz w:val="32"/>
          <w:szCs w:val="32"/>
          <w:lang w:eastAsia="zh-CN"/>
        </w:rPr>
        <w:sectPr>
          <w:footerReference r:id="rId3" w:type="default"/>
          <w:pgSz w:w="11906" w:h="16839"/>
          <w:pgMar w:top="1431" w:right="1703" w:bottom="1151" w:left="1785" w:header="0" w:footer="987" w:gutter="0"/>
          <w:cols w:space="720" w:num="1"/>
        </w:sectPr>
      </w:pPr>
    </w:p>
    <w:p w14:paraId="0EE4BCD2">
      <w:pPr>
        <w:spacing w:before="172" w:line="222" w:lineRule="auto"/>
        <w:ind w:left="35" w:firstLine="608" w:firstLineChars="200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-8"/>
          <w:sz w:val="32"/>
          <w:szCs w:val="32"/>
        </w:rPr>
        <w:t>六、附图</w:t>
      </w:r>
    </w:p>
    <w:p w14:paraId="2B1FD75E">
      <w:pPr>
        <w:pStyle w:val="2"/>
        <w:spacing w:before="262" w:line="222" w:lineRule="auto"/>
        <w:ind w:left="646"/>
        <w:outlineLvl w:val="1"/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518795</wp:posOffset>
            </wp:positionV>
            <wp:extent cx="5293360" cy="7484745"/>
            <wp:effectExtent l="0" t="0" r="2540" b="1905"/>
            <wp:wrapTopAndBottom/>
            <wp:docPr id="237805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05963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  <w:spacing w:val="-7"/>
          <w:sz w:val="32"/>
          <w:szCs w:val="32"/>
        </w:rPr>
        <w:t>1.区位图</w:t>
      </w:r>
    </w:p>
    <w:p w14:paraId="3A4394FC">
      <w:pPr>
        <w:spacing w:line="11731" w:lineRule="exact"/>
        <w:rPr>
          <w:rFonts w:hint="eastAsia" w:eastAsia="宋体"/>
          <w:sz w:val="32"/>
          <w:szCs w:val="32"/>
          <w:lang w:eastAsia="zh-CN"/>
        </w:rPr>
        <w:sectPr>
          <w:footerReference r:id="rId4" w:type="default"/>
          <w:pgSz w:w="11906" w:h="16839"/>
          <w:pgMar w:top="1431" w:right="1785" w:bottom="1150" w:left="1785" w:header="0" w:footer="987" w:gutter="0"/>
          <w:cols w:space="720" w:num="1"/>
        </w:sectPr>
      </w:pPr>
    </w:p>
    <w:p w14:paraId="100FAB6F">
      <w:pPr>
        <w:pStyle w:val="2"/>
        <w:numPr>
          <w:ilvl w:val="0"/>
          <w:numId w:val="0"/>
        </w:numPr>
        <w:spacing w:before="171" w:line="222" w:lineRule="auto"/>
        <w:ind w:firstLine="632" w:firstLineChars="200"/>
        <w:outlineLvl w:val="1"/>
        <w:rPr>
          <w:rFonts w:hint="default" w:ascii="Times New Roman" w:hAnsi="Times New Roman" w:eastAsia="方正仿宋_GB2312" w:cs="Times New Roman"/>
          <w:spacing w:val="-2"/>
          <w:sz w:val="32"/>
          <w:szCs w:val="32"/>
        </w:rPr>
      </w:pPr>
      <w:r>
        <w:rPr>
          <w:rFonts w:hint="eastAsia" w:ascii="Times New Roman" w:hAnsi="Times New Roman" w:eastAsia="方正仿宋_GB2312" w:cs="Times New Roman"/>
          <w:spacing w:val="-2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2312" w:cs="Times New Roman"/>
          <w:spacing w:val="-2"/>
          <w:sz w:val="32"/>
          <w:szCs w:val="32"/>
        </w:rPr>
        <w:t>各类控制线管控图</w:t>
      </w:r>
    </w:p>
    <w:p w14:paraId="211C7222">
      <w:pPr>
        <w:pStyle w:val="2"/>
        <w:spacing w:before="171" w:line="222" w:lineRule="auto"/>
        <w:outlineLvl w:val="1"/>
        <w:rPr>
          <w:rFonts w:hint="eastAsia" w:eastAsia="宋体"/>
          <w:sz w:val="32"/>
          <w:szCs w:val="32"/>
          <w:lang w:eastAsia="zh-CN"/>
        </w:rPr>
        <w:sectPr>
          <w:footerReference r:id="rId5" w:type="default"/>
          <w:pgSz w:w="11906" w:h="16839"/>
          <w:pgMar w:top="1431" w:right="1785" w:bottom="1152" w:left="1785" w:header="0" w:footer="987" w:gutter="0"/>
          <w:cols w:space="720" w:num="1"/>
        </w:sectPr>
      </w:pPr>
      <w:r>
        <w:rPr>
          <w:sz w:val="32"/>
          <w:szCs w:val="32"/>
        </w:rPr>
        <w:drawing>
          <wp:inline distT="0" distB="0" distL="0" distR="0">
            <wp:extent cx="5293360" cy="7484745"/>
            <wp:effectExtent l="0" t="0" r="2540" b="1905"/>
            <wp:docPr id="12257779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7794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30AAE">
      <w:pPr>
        <w:pStyle w:val="2"/>
        <w:numPr>
          <w:ilvl w:val="0"/>
          <w:numId w:val="0"/>
        </w:numPr>
        <w:spacing w:before="171" w:line="222" w:lineRule="auto"/>
        <w:ind w:firstLine="632" w:firstLineChars="200"/>
        <w:outlineLvl w:val="1"/>
        <w:rPr>
          <w:rStyle w:val="11"/>
          <w:rFonts w:hint="default" w:ascii="Times New Roman" w:hAnsi="Times New Roman" w:eastAsia="方正仿宋_GB2312" w:cs="Times New Roman"/>
          <w:i w:val="0"/>
          <w:iCs w:val="0"/>
          <w:color w:val="000000"/>
          <w:spacing w:val="-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2312" w:cs="Times New Roman"/>
          <w:spacing w:val="-2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方正仿宋_GB2312" w:cs="Times New Roman"/>
          <w:spacing w:val="-2"/>
          <w:sz w:val="32"/>
          <w:szCs w:val="32"/>
          <w:lang w:eastAsia="zh-CN"/>
        </w:rPr>
        <w:t>村域空间结构规划图</w:t>
      </w:r>
    </w:p>
    <w:p w14:paraId="0E847289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048250" cy="7138670"/>
            <wp:effectExtent l="0" t="0" r="0" b="5080"/>
            <wp:docPr id="10897507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50710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901" cy="71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0544E">
      <w:pPr>
        <w:pStyle w:val="2"/>
        <w:spacing w:before="171" w:line="222" w:lineRule="auto"/>
        <w:ind w:left="630"/>
        <w:outlineLvl w:val="1"/>
        <w:rPr>
          <w:rFonts w:hint="eastAsia"/>
          <w:sz w:val="32"/>
          <w:szCs w:val="32"/>
          <w:lang w:eastAsia="zh-CN"/>
        </w:rPr>
      </w:pPr>
    </w:p>
    <w:p w14:paraId="66575990">
      <w:pPr>
        <w:spacing w:line="11731" w:lineRule="exact"/>
        <w:rPr>
          <w:rFonts w:eastAsia="宋体"/>
          <w:sz w:val="32"/>
          <w:szCs w:val="32"/>
          <w:lang w:eastAsia="zh-CN"/>
        </w:rPr>
        <w:sectPr>
          <w:footerReference r:id="rId6" w:type="default"/>
          <w:pgSz w:w="11906" w:h="16839"/>
          <w:pgMar w:top="1431" w:right="1785" w:bottom="1150" w:left="1785" w:header="0" w:footer="987" w:gutter="0"/>
          <w:cols w:space="720" w:num="1"/>
        </w:sectPr>
      </w:pPr>
    </w:p>
    <w:p w14:paraId="69EBA379">
      <w:pPr>
        <w:pStyle w:val="2"/>
        <w:spacing w:before="171" w:line="222" w:lineRule="auto"/>
        <w:ind w:left="623"/>
        <w:outlineLvl w:val="1"/>
        <w:rPr>
          <w:rFonts w:hint="default" w:ascii="Times New Roman" w:hAnsi="Times New Roman" w:eastAsia="方正仿宋_GB2312" w:cs="Times New Roman"/>
          <w:spacing w:val="-1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pacing w:val="-1"/>
          <w:sz w:val="32"/>
          <w:szCs w:val="32"/>
          <w:lang w:eastAsia="zh-CN"/>
        </w:rPr>
        <w:t>4.村域国土空间规划图</w:t>
      </w:r>
    </w:p>
    <w:p w14:paraId="60736FF3">
      <w:pPr>
        <w:pStyle w:val="2"/>
        <w:spacing w:before="171" w:line="222" w:lineRule="auto"/>
        <w:outlineLvl w:val="1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93360" cy="7484745"/>
            <wp:effectExtent l="0" t="0" r="2540" b="1905"/>
            <wp:docPr id="11701634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63446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9612">
      <w:pPr>
        <w:pStyle w:val="2"/>
        <w:spacing w:before="171" w:line="222" w:lineRule="auto"/>
        <w:outlineLvl w:val="1"/>
        <w:rPr>
          <w:sz w:val="32"/>
          <w:szCs w:val="32"/>
        </w:rPr>
      </w:pPr>
    </w:p>
    <w:p w14:paraId="2AE801AF">
      <w:pPr>
        <w:pStyle w:val="2"/>
        <w:numPr>
          <w:ilvl w:val="0"/>
          <w:numId w:val="0"/>
        </w:numPr>
        <w:spacing w:before="172" w:line="222" w:lineRule="auto"/>
        <w:outlineLvl w:val="1"/>
        <w:rPr>
          <w:rFonts w:hint="eastAsia"/>
          <w:spacing w:val="-2"/>
          <w:sz w:val="32"/>
          <w:szCs w:val="32"/>
          <w:lang w:val="en-US" w:eastAsia="zh-CN"/>
        </w:rPr>
      </w:pPr>
    </w:p>
    <w:p w14:paraId="5661F689">
      <w:pPr>
        <w:pStyle w:val="2"/>
        <w:numPr>
          <w:ilvl w:val="0"/>
          <w:numId w:val="0"/>
        </w:numPr>
        <w:spacing w:before="172" w:line="222" w:lineRule="auto"/>
        <w:outlineLvl w:val="1"/>
        <w:rPr>
          <w:rFonts w:hint="eastAsia"/>
          <w:spacing w:val="-2"/>
          <w:sz w:val="32"/>
          <w:szCs w:val="32"/>
          <w:lang w:val="en-US" w:eastAsia="zh-CN"/>
        </w:rPr>
      </w:pPr>
    </w:p>
    <w:p w14:paraId="0110B868">
      <w:pPr>
        <w:pStyle w:val="2"/>
        <w:numPr>
          <w:ilvl w:val="0"/>
          <w:numId w:val="0"/>
        </w:numPr>
        <w:spacing w:before="172" w:line="222" w:lineRule="auto"/>
        <w:ind w:firstLine="640" w:firstLineChars="200"/>
        <w:outlineLvl w:val="1"/>
        <w:rPr>
          <w:rFonts w:hint="default" w:ascii="Times New Roman" w:hAnsi="Times New Roman" w:eastAsia="方正仿宋_GB2312" w:cs="Times New Roman"/>
          <w:spacing w:val="-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373380</wp:posOffset>
            </wp:positionV>
            <wp:extent cx="5293360" cy="7484745"/>
            <wp:effectExtent l="0" t="0" r="2540" b="1905"/>
            <wp:wrapTopAndBottom/>
            <wp:docPr id="12873010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01086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  <w:spacing w:val="-2"/>
          <w:sz w:val="32"/>
          <w:szCs w:val="32"/>
          <w:lang w:val="en-US" w:eastAsia="zh-CN"/>
        </w:rPr>
        <w:t>5.</w:t>
      </w:r>
      <w:r>
        <w:rPr>
          <w:rFonts w:hint="default" w:ascii="Times New Roman" w:hAnsi="Times New Roman" w:eastAsia="方正仿宋_GB2312" w:cs="Times New Roman"/>
          <w:spacing w:val="-2"/>
          <w:sz w:val="32"/>
          <w:szCs w:val="32"/>
          <w:lang w:eastAsia="zh-CN"/>
        </w:rPr>
        <w:t>产业空间发展引导图</w:t>
      </w:r>
    </w:p>
    <w:p w14:paraId="296DF6A7">
      <w:pPr>
        <w:spacing w:line="11731" w:lineRule="exact"/>
        <w:rPr>
          <w:rFonts w:hint="eastAsia" w:eastAsiaTheme="minorEastAsia"/>
          <w:sz w:val="32"/>
          <w:szCs w:val="32"/>
          <w:lang w:eastAsia="zh-CN"/>
        </w:rPr>
        <w:sectPr>
          <w:footerReference r:id="rId7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69297796">
      <w:pPr>
        <w:pStyle w:val="2"/>
        <w:spacing w:before="171" w:line="222" w:lineRule="auto"/>
        <w:ind w:firstLine="632" w:firstLineChars="200"/>
        <w:outlineLvl w:val="1"/>
        <w:rPr>
          <w:rFonts w:hint="default" w:ascii="Times New Roman" w:hAnsi="Times New Roman" w:eastAsia="方正仿宋_GB2312" w:cs="Times New Roman"/>
          <w:spacing w:val="-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pacing w:val="-2"/>
          <w:sz w:val="32"/>
          <w:szCs w:val="32"/>
          <w:lang w:eastAsia="zh-CN"/>
        </w:rPr>
        <w:t>6.村民版规划图</w:t>
      </w:r>
    </w:p>
    <w:p w14:paraId="663C490A">
      <w:pPr>
        <w:pStyle w:val="2"/>
        <w:spacing w:before="171" w:line="222" w:lineRule="auto"/>
        <w:outlineLvl w:val="1"/>
        <w:rPr>
          <w:rFonts w:hint="eastAsia"/>
          <w:sz w:val="32"/>
          <w:szCs w:val="32"/>
          <w:lang w:eastAsia="zh-CN"/>
        </w:rPr>
      </w:pPr>
      <w:r>
        <w:rPr>
          <w:sz w:val="32"/>
          <w:szCs w:val="32"/>
        </w:rPr>
        <w:drawing>
          <wp:inline distT="0" distB="0" distL="0" distR="0">
            <wp:extent cx="5544820" cy="7840345"/>
            <wp:effectExtent l="0" t="0" r="0" b="8255"/>
            <wp:docPr id="10993196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19630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784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8" w:type="default"/>
      <w:pgSz w:w="11906" w:h="16839"/>
      <w:pgMar w:top="1431" w:right="1389" w:bottom="1152" w:left="1785" w:header="0" w:footer="987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1546645-D549-4865-B908-FC91B1371ED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AF3921C-8133-4745-B071-76AA929384C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BB6FF98D-36AB-4D7C-A825-FA7D880183D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D3B35F8F-6711-4B18-8D15-EB780E58CC7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5" w:fontKey="{F7B96BC5-24FB-4991-BC24-E91F40EC7F3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C2AB3998-3184-4D1D-AEC6-FF5A8D73CD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7B6324">
    <w:pPr>
      <w:spacing w:line="168" w:lineRule="auto"/>
      <w:ind w:left="4124"/>
      <w:rPr>
        <w:rFonts w:hint="default" w:ascii="Calibri" w:hAnsi="Calibri" w:eastAsia="宋体" w:cs="Calibri"/>
        <w:sz w:val="18"/>
        <w:szCs w:val="18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AEB118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492E3">
    <w:pPr>
      <w:spacing w:line="169" w:lineRule="auto"/>
      <w:ind w:left="4129"/>
      <w:rPr>
        <w:rFonts w:ascii="Calibri" w:hAnsi="Calibri" w:eastAsia="Calibri" w:cs="Calibri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AFC7B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5B59AE">
    <w:pPr>
      <w:spacing w:line="169" w:lineRule="auto"/>
      <w:ind w:left="4127"/>
      <w:rPr>
        <w:rFonts w:ascii="Calibri" w:hAnsi="Calibri" w:eastAsia="Calibri" w:cs="Calibri"/>
        <w:sz w:val="18"/>
        <w:szCs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10964F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C7F"/>
    <w:rsid w:val="00147646"/>
    <w:rsid w:val="00160CF2"/>
    <w:rsid w:val="0037603A"/>
    <w:rsid w:val="00520707"/>
    <w:rsid w:val="005B1AE3"/>
    <w:rsid w:val="0067385E"/>
    <w:rsid w:val="006F36ED"/>
    <w:rsid w:val="009D1CA6"/>
    <w:rsid w:val="00A27D1C"/>
    <w:rsid w:val="00A3621B"/>
    <w:rsid w:val="00A501F7"/>
    <w:rsid w:val="00BA720E"/>
    <w:rsid w:val="00BF4546"/>
    <w:rsid w:val="00D31CBA"/>
    <w:rsid w:val="00D76C7F"/>
    <w:rsid w:val="00F5535D"/>
    <w:rsid w:val="062937AB"/>
    <w:rsid w:val="07FA32AC"/>
    <w:rsid w:val="14340BBC"/>
    <w:rsid w:val="26630315"/>
    <w:rsid w:val="31F23ECB"/>
    <w:rsid w:val="39922256"/>
    <w:rsid w:val="3BB71222"/>
    <w:rsid w:val="3F31018E"/>
    <w:rsid w:val="4536001D"/>
    <w:rsid w:val="49566680"/>
    <w:rsid w:val="4BC71F2E"/>
    <w:rsid w:val="719F67EE"/>
    <w:rsid w:val="735B2F69"/>
    <w:rsid w:val="758F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Title"/>
    <w:basedOn w:val="1"/>
    <w:next w:val="1"/>
    <w:link w:val="12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">
    <w:name w:val="页眉 字符"/>
    <w:basedOn w:val="7"/>
    <w:link w:val="4"/>
    <w:qFormat/>
    <w:uiPriority w:val="0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10">
    <w:name w:val="页脚 字符"/>
    <w:basedOn w:val="7"/>
    <w:link w:val="3"/>
    <w:qFormat/>
    <w:uiPriority w:val="0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11">
    <w:name w:val="Subtle Emphasis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2">
    <w:name w:val="标题 字符"/>
    <w:basedOn w:val="7"/>
    <w:link w:val="5"/>
    <w:qFormat/>
    <w:uiPriority w:val="0"/>
    <w:rPr>
      <w:rFonts w:asciiTheme="majorHAnsi" w:hAnsiTheme="majorHAnsi" w:eastAsiaTheme="majorEastAsia" w:cstheme="majorBidi"/>
      <w:b/>
      <w:bCs/>
      <w:snapToGrid w:val="0"/>
      <w:color w:val="000000"/>
      <w:sz w:val="32"/>
      <w:szCs w:val="32"/>
      <w:lang w:eastAsia="en-US"/>
    </w:rPr>
  </w:style>
  <w:style w:type="paragraph" w:styleId="13">
    <w:name w:val="List Paragraph"/>
    <w:basedOn w:val="1"/>
    <w:semiHidden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1537</Words>
  <Characters>1721</Characters>
  <Lines>51</Lines>
  <Paragraphs>47</Paragraphs>
  <TotalTime>15</TotalTime>
  <ScaleCrop>false</ScaleCrop>
  <LinksUpToDate>false</LinksUpToDate>
  <CharactersWithSpaces>1721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2025-07-23T03:20:00Z</dcterms:created>
  <dc:creator>于承洋</dc:creator>
  <cp:lastModifiedBy>大瓶盖</cp:lastModifiedBy>
  <cp:lastPrinted>2025-07-24T06:51:26Z</cp:lastPrinted>
  <dcterms:modified xsi:type="dcterms:W3CDTF">2025-07-24T06:58:03Z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2025-07-19T15:19:33Z</vt:filetime>
  </property>
  <property fmtid="{D5CDD505-2E9C-101B-9397-08002B2CF9AE}" pid="4" name="KSOTemplateDocerSaveRecord">
    <vt:lpwstr>eyJoZGlkIjoiYjdiMGYwODAxZGQ5ZGE3ZWE5ZmQwZGQyMjc4NmNjYmMiLCJ1c2VySWQiOiI0MzU1MzQ5NDAifQ==</vt:lpwstr>
  </property>
  <property fmtid="{D5CDD505-2E9C-101B-9397-08002B2CF9AE}" pid="5" name="KSOProductBuildVer">
    <vt:lpwstr>2052-12.1.0.21915</vt:lpwstr>
  </property>
  <property fmtid="{D5CDD505-2E9C-101B-9397-08002B2CF9AE}" pid="6" name="ICV">
    <vt:lpwstr>24854BFD54C94A118F81FF2BA3DBABC5_13</vt:lpwstr>
  </property>
</Properties>
</file>