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0DAA6">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庄河市委党校2021年度部门预算</w:t>
      </w:r>
    </w:p>
    <w:p w14:paraId="5824264D">
      <w:pPr>
        <w:rPr>
          <w:rFonts w:hint="eastAsia"/>
        </w:rPr>
      </w:pPr>
    </w:p>
    <w:p w14:paraId="5C7BC9FA">
      <w:pPr>
        <w:spacing w:line="220" w:lineRule="atLeast"/>
        <w:jc w:val="center"/>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lang w:val="en-US" w:eastAsia="zh-CN"/>
        </w:rPr>
        <w:t>目录</w:t>
      </w:r>
    </w:p>
    <w:p w14:paraId="5D54D4B5">
      <w:pPr>
        <w:adjustRightInd w:val="0"/>
        <w:snapToGrid w:val="0"/>
        <w:spacing w:line="220" w:lineRule="atLeast"/>
        <w:rPr>
          <w:rFonts w:hint="eastAsia" w:ascii="黑体" w:hAnsi="黑体" w:eastAsia="黑体" w:cs="Times New Roman"/>
          <w:sz w:val="32"/>
          <w:szCs w:val="32"/>
        </w:rPr>
      </w:pPr>
      <w:r>
        <w:rPr>
          <w:rFonts w:hint="eastAsia" w:ascii="黑体" w:hAnsi="黑体" w:eastAsia="黑体" w:cs="Times New Roman"/>
          <w:sz w:val="32"/>
          <w:szCs w:val="32"/>
          <w:lang w:val="en-US" w:eastAsia="zh-CN"/>
        </w:rPr>
        <w:t>第一部分 庄河市委党校概况</w:t>
      </w:r>
    </w:p>
    <w:p w14:paraId="5575C954">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一、主要职责</w:t>
      </w:r>
    </w:p>
    <w:p w14:paraId="02762C11">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二、部门预算单位构成</w:t>
      </w:r>
    </w:p>
    <w:p w14:paraId="58B0F106">
      <w:pPr>
        <w:adjustRightInd w:val="0"/>
        <w:snapToGrid w:val="0"/>
        <w:spacing w:line="220" w:lineRule="atLeast"/>
        <w:rPr>
          <w:rFonts w:hint="eastAsia" w:ascii="黑体" w:hAnsi="黑体" w:eastAsia="黑体" w:cs="Times New Roman"/>
          <w:sz w:val="32"/>
          <w:szCs w:val="32"/>
        </w:rPr>
      </w:pPr>
      <w:r>
        <w:rPr>
          <w:rFonts w:hint="eastAsia" w:ascii="黑体" w:hAnsi="黑体" w:eastAsia="黑体" w:cs="Times New Roman"/>
          <w:sz w:val="32"/>
          <w:szCs w:val="32"/>
          <w:lang w:val="en-US" w:eastAsia="zh-CN"/>
        </w:rPr>
        <w:t>第二部分 庄河市委党校2021年部门预算表</w:t>
      </w:r>
    </w:p>
    <w:p w14:paraId="66479FB6">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一、收支预算总表</w:t>
      </w:r>
    </w:p>
    <w:p w14:paraId="1DEFEF52">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二、收入预算总表</w:t>
      </w:r>
    </w:p>
    <w:p w14:paraId="5FB1BBBC">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三、支出预算总表</w:t>
      </w:r>
    </w:p>
    <w:p w14:paraId="6D40505E">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四、支出功能分类预算表</w:t>
      </w:r>
    </w:p>
    <w:p w14:paraId="4AFC7E51">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五、支出经济分类预算表</w:t>
      </w:r>
    </w:p>
    <w:p w14:paraId="2563D9D9">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六、财政拨款预算总表</w:t>
      </w:r>
      <w:bookmarkStart w:id="0" w:name="_GoBack"/>
      <w:bookmarkEnd w:id="0"/>
    </w:p>
    <w:p w14:paraId="750CA3AE">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七、一般公共预算支出表</w:t>
      </w:r>
    </w:p>
    <w:p w14:paraId="15E24F2E">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八、一般公共预算基本支出表</w:t>
      </w:r>
    </w:p>
    <w:p w14:paraId="7FD14C7D">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九、一般公共预算“三公”经费支出预算表</w:t>
      </w:r>
    </w:p>
    <w:p w14:paraId="4AEB55E9">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十、政府性基金预算支出表</w:t>
      </w:r>
    </w:p>
    <w:p w14:paraId="3DF2B031">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十一、国有资本经营预算支出表</w:t>
      </w:r>
    </w:p>
    <w:p w14:paraId="17A2A6FB">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十二、项目支出表</w:t>
      </w:r>
    </w:p>
    <w:p w14:paraId="1EF10D60">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十三、政府采购预算表</w:t>
      </w:r>
    </w:p>
    <w:p w14:paraId="79714DA5">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十四、政府购买服务预算表</w:t>
      </w:r>
    </w:p>
    <w:p w14:paraId="7967B380">
      <w:pPr>
        <w:adjustRightInd w:val="0"/>
        <w:snapToGrid w:val="0"/>
        <w:spacing w:line="220" w:lineRule="atLeast"/>
        <w:rPr>
          <w:rFonts w:hint="eastAsia" w:ascii="黑体" w:hAnsi="黑体" w:eastAsia="黑体" w:cs="Times New Roman"/>
          <w:sz w:val="32"/>
          <w:szCs w:val="32"/>
        </w:rPr>
      </w:pPr>
      <w:r>
        <w:rPr>
          <w:rFonts w:hint="eastAsia" w:ascii="黑体" w:hAnsi="黑体" w:eastAsia="黑体" w:cs="Times New Roman"/>
          <w:sz w:val="32"/>
          <w:szCs w:val="32"/>
          <w:lang w:val="en-US" w:eastAsia="zh-CN"/>
        </w:rPr>
        <w:t>第三部分 庄河市委党校2021年部门预算情况说明</w:t>
      </w:r>
    </w:p>
    <w:p w14:paraId="72CAB9CB">
      <w:pPr>
        <w:adjustRightInd w:val="0"/>
        <w:snapToGrid w:val="0"/>
        <w:spacing w:line="220" w:lineRule="atLeast"/>
        <w:rPr>
          <w:rFonts w:hint="eastAsia" w:ascii="黑体" w:hAnsi="黑体" w:eastAsia="黑体" w:cs="Times New Roman"/>
          <w:sz w:val="32"/>
          <w:szCs w:val="32"/>
        </w:rPr>
      </w:pPr>
      <w:r>
        <w:rPr>
          <w:rFonts w:hint="eastAsia" w:ascii="黑体" w:hAnsi="黑体" w:eastAsia="黑体" w:cs="Times New Roman"/>
          <w:sz w:val="32"/>
          <w:szCs w:val="32"/>
          <w:lang w:val="en-US" w:eastAsia="zh-CN"/>
        </w:rPr>
        <w:t>第四部分 名词解释</w:t>
      </w:r>
    </w:p>
    <w:p w14:paraId="28E58B30">
      <w:pPr>
        <w:jc w:val="center"/>
        <w:rPr>
          <w:rFonts w:hint="eastAsia" w:ascii="楷体_GB2312" w:hAnsi="Times New Roman" w:eastAsia="楷体_GB2312" w:cs="Times New Roman"/>
          <w:sz w:val="44"/>
          <w:szCs w:val="44"/>
          <w:lang w:val="en-US" w:eastAsia="zh-CN"/>
        </w:rPr>
      </w:pPr>
    </w:p>
    <w:p w14:paraId="1C8E9D33">
      <w:pPr>
        <w:jc w:val="center"/>
        <w:rPr>
          <w:rFonts w:hint="eastAsia" w:ascii="楷体_GB2312" w:hAnsi="Times New Roman" w:eastAsia="楷体_GB2312" w:cs="Times New Roman"/>
          <w:sz w:val="44"/>
          <w:szCs w:val="44"/>
          <w:lang w:val="en-US" w:eastAsia="zh-CN"/>
        </w:rPr>
      </w:pPr>
    </w:p>
    <w:p w14:paraId="6FCF6AB0">
      <w:pPr>
        <w:jc w:val="center"/>
        <w:rPr>
          <w:rFonts w:hint="eastAsia" w:ascii="楷体_GB2312" w:hAnsi="Times New Roman" w:eastAsia="楷体_GB2312" w:cs="Times New Roman"/>
          <w:sz w:val="44"/>
          <w:szCs w:val="44"/>
          <w:lang w:val="en-US" w:eastAsia="zh-CN"/>
        </w:rPr>
      </w:pPr>
    </w:p>
    <w:p w14:paraId="5F552646">
      <w:pPr>
        <w:jc w:val="center"/>
        <w:rPr>
          <w:rFonts w:hint="eastAsia" w:ascii="楷体_GB2312" w:hAnsi="Times New Roman" w:eastAsia="楷体_GB2312" w:cs="Times New Roman"/>
          <w:sz w:val="44"/>
          <w:szCs w:val="44"/>
          <w:lang w:val="en-US" w:eastAsia="zh-CN"/>
        </w:rPr>
      </w:pPr>
    </w:p>
    <w:p w14:paraId="61A3A2A4">
      <w:pPr>
        <w:jc w:val="center"/>
        <w:rPr>
          <w:rFonts w:hint="eastAsia" w:ascii="楷体_GB2312" w:hAnsi="Times New Roman" w:eastAsia="楷体_GB2312" w:cs="Times New Roman"/>
          <w:sz w:val="44"/>
          <w:szCs w:val="44"/>
          <w:lang w:val="en-US" w:eastAsia="zh-CN"/>
        </w:rPr>
      </w:pPr>
    </w:p>
    <w:p w14:paraId="19DEAADB">
      <w:pPr>
        <w:jc w:val="center"/>
        <w:rPr>
          <w:rFonts w:hint="eastAsia" w:ascii="楷体_GB2312" w:hAnsi="Times New Roman" w:eastAsia="楷体_GB2312" w:cs="Times New Roman"/>
          <w:sz w:val="44"/>
          <w:szCs w:val="44"/>
          <w:lang w:val="en-US" w:eastAsia="zh-CN"/>
        </w:rPr>
      </w:pPr>
    </w:p>
    <w:p w14:paraId="260928DE">
      <w:pPr>
        <w:jc w:val="center"/>
        <w:rPr>
          <w:rFonts w:hint="eastAsia" w:ascii="楷体_GB2312" w:hAnsi="Times New Roman" w:eastAsia="楷体_GB2312" w:cs="Times New Roman"/>
          <w:sz w:val="44"/>
          <w:szCs w:val="44"/>
        </w:rPr>
      </w:pPr>
      <w:r>
        <w:rPr>
          <w:rFonts w:hint="eastAsia" w:ascii="楷体_GB2312" w:hAnsi="Times New Roman" w:eastAsia="楷体_GB2312" w:cs="Times New Roman"/>
          <w:sz w:val="44"/>
          <w:szCs w:val="44"/>
          <w:lang w:val="en-US" w:eastAsia="zh-CN"/>
        </w:rPr>
        <w:t>第一部分</w:t>
      </w:r>
    </w:p>
    <w:p w14:paraId="0B9DACA0">
      <w:pPr>
        <w:jc w:val="center"/>
        <w:rPr>
          <w:rFonts w:hint="eastAsia" w:ascii="楷体_GB2312" w:hAnsi="Times New Roman" w:eastAsia="楷体_GB2312" w:cs="Times New Roman"/>
          <w:sz w:val="44"/>
          <w:szCs w:val="44"/>
        </w:rPr>
      </w:pPr>
      <w:r>
        <w:rPr>
          <w:rFonts w:hint="eastAsia" w:ascii="楷体_GB2312" w:hAnsi="Times New Roman" w:eastAsia="楷体_GB2312" w:cs="Times New Roman"/>
          <w:sz w:val="44"/>
          <w:szCs w:val="44"/>
          <w:lang w:val="en-US" w:eastAsia="zh-CN"/>
        </w:rPr>
        <w:t>庄河市委党校概况</w:t>
      </w:r>
    </w:p>
    <w:p w14:paraId="0508E531">
      <w:pPr>
        <w:rPr>
          <w:rFonts w:hint="eastAsia" w:ascii="仿宋_GB2312" w:hAnsi="仿宋_GB2312" w:eastAsia="仿宋_GB2312" w:cs="仿宋_GB2312"/>
          <w:sz w:val="32"/>
          <w:szCs w:val="32"/>
        </w:rPr>
      </w:pPr>
    </w:p>
    <w:p w14:paraId="22E68F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一、主要职责</w:t>
      </w:r>
    </w:p>
    <w:p w14:paraId="3B25AB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中共庄河市委党校（庄河行政学校、庄河市社会主义学校）是市委培训全市乡科级领导干部、中青年干部和统战系统干部的学校，是研究宣传习近平新时代中国特色社会主义思想、推进党的思想理论建设的重要阵地，是领导干部加强党性锻炼熔炉，是统一战线人才教育培养主阵地，是党委和政府决策咨询智库。</w:t>
      </w:r>
    </w:p>
    <w:p w14:paraId="011DE2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以习近平新时代中国特色社会主义思想为重点，学习、研究、宣传马克思列宁主义、毛泽东思想和中国特色社会主义理论体系；承担党员领导干部、公务员、统战人才、党务干部等培训任务；协助组织人事部门对学员在校期间表现进行考察考核。</w:t>
      </w:r>
    </w:p>
    <w:p w14:paraId="629DB8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（三）围绕党的中心工作任务和市委、市政府工作部署，对重大理论和现实问题进行研究，为市委、市政府决策提供咨询服务。</w:t>
      </w:r>
    </w:p>
    <w:p w14:paraId="01FF91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（四）根据市委指示和全市经济、社会发展的实际需要，承办其他教育培训和科研任务。</w:t>
      </w:r>
    </w:p>
    <w:p w14:paraId="515278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（五）承担市委、市政府交办的其他工作。</w:t>
      </w:r>
    </w:p>
    <w:p w14:paraId="40DD38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6EB1F8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庄河市委党校部门预算是庄河市委党校本部综合收支计划，无二级单位。内设机构情况：庄河市委党校设3个内设机构，分别是:办公室、教务部、教研部。</w:t>
      </w:r>
    </w:p>
    <w:p w14:paraId="38147307">
      <w:pPr>
        <w:ind w:firstLine="3682" w:firstLineChars="837"/>
        <w:rPr>
          <w:rFonts w:hint="eastAsia" w:ascii="楷体_GB2312" w:hAnsi="Times New Roman" w:eastAsia="楷体_GB2312" w:cs="Times New Roman"/>
          <w:sz w:val="44"/>
          <w:szCs w:val="44"/>
          <w:lang w:val="en-US" w:eastAsia="zh-CN"/>
        </w:rPr>
      </w:pPr>
    </w:p>
    <w:p w14:paraId="533A79C7">
      <w:pPr>
        <w:ind w:firstLine="3682" w:firstLineChars="837"/>
        <w:rPr>
          <w:rFonts w:hint="eastAsia" w:ascii="楷体_GB2312" w:hAnsi="Times New Roman" w:eastAsia="楷体_GB2312" w:cs="Times New Roman"/>
          <w:sz w:val="44"/>
          <w:szCs w:val="44"/>
          <w:lang w:val="en-US" w:eastAsia="zh-CN"/>
        </w:rPr>
      </w:pPr>
    </w:p>
    <w:p w14:paraId="6252B4A5">
      <w:pPr>
        <w:ind w:firstLine="3682" w:firstLineChars="837"/>
        <w:rPr>
          <w:rFonts w:hint="eastAsia" w:ascii="楷体_GB2312" w:hAnsi="Times New Roman" w:eastAsia="楷体_GB2312" w:cs="Times New Roman"/>
          <w:sz w:val="44"/>
          <w:szCs w:val="44"/>
          <w:lang w:val="en-US" w:eastAsia="zh-CN"/>
        </w:rPr>
      </w:pPr>
    </w:p>
    <w:p w14:paraId="0B7D15F5">
      <w:pPr>
        <w:ind w:firstLine="3682" w:firstLineChars="837"/>
        <w:rPr>
          <w:rFonts w:hint="eastAsia" w:ascii="楷体_GB2312" w:hAnsi="Times New Roman" w:eastAsia="楷体_GB2312" w:cs="Times New Roman"/>
          <w:sz w:val="44"/>
          <w:szCs w:val="44"/>
          <w:lang w:val="en-US" w:eastAsia="zh-CN"/>
        </w:rPr>
      </w:pPr>
    </w:p>
    <w:p w14:paraId="12E48BC6">
      <w:pPr>
        <w:ind w:firstLine="3682" w:firstLineChars="837"/>
        <w:rPr>
          <w:rFonts w:hint="eastAsia" w:ascii="楷体_GB2312" w:hAnsi="Times New Roman" w:eastAsia="楷体_GB2312" w:cs="Times New Roman"/>
          <w:sz w:val="44"/>
          <w:szCs w:val="44"/>
          <w:lang w:val="en-US" w:eastAsia="zh-CN"/>
        </w:rPr>
      </w:pPr>
    </w:p>
    <w:p w14:paraId="0E768DD9">
      <w:pPr>
        <w:ind w:firstLine="3682" w:firstLineChars="837"/>
        <w:rPr>
          <w:rFonts w:hint="eastAsia" w:ascii="楷体_GB2312" w:hAnsi="Times New Roman" w:eastAsia="楷体_GB2312" w:cs="Times New Roman"/>
          <w:sz w:val="44"/>
          <w:szCs w:val="44"/>
          <w:lang w:val="en-US" w:eastAsia="zh-CN"/>
        </w:rPr>
      </w:pPr>
    </w:p>
    <w:p w14:paraId="78C87705">
      <w:pPr>
        <w:ind w:firstLine="3682" w:firstLineChars="837"/>
        <w:rPr>
          <w:rFonts w:hint="eastAsia" w:ascii="楷体_GB2312" w:hAnsi="Times New Roman" w:eastAsia="楷体_GB2312" w:cs="Times New Roman"/>
          <w:sz w:val="44"/>
          <w:szCs w:val="44"/>
          <w:lang w:val="en-US" w:eastAsia="zh-CN"/>
        </w:rPr>
      </w:pPr>
    </w:p>
    <w:p w14:paraId="2F3CB0E0">
      <w:pPr>
        <w:ind w:firstLine="3682" w:firstLineChars="837"/>
        <w:rPr>
          <w:rFonts w:hint="eastAsia" w:ascii="楷体_GB2312" w:hAnsi="Times New Roman" w:eastAsia="楷体_GB2312" w:cs="Times New Roman"/>
          <w:sz w:val="44"/>
          <w:szCs w:val="44"/>
          <w:lang w:val="en-US" w:eastAsia="zh-CN"/>
        </w:rPr>
      </w:pPr>
    </w:p>
    <w:p w14:paraId="6FCA2868">
      <w:pPr>
        <w:ind w:firstLine="3682" w:firstLineChars="837"/>
        <w:rPr>
          <w:rFonts w:hint="eastAsia" w:ascii="楷体_GB2312" w:hAnsi="Times New Roman" w:eastAsia="楷体_GB2312" w:cs="Times New Roman"/>
          <w:sz w:val="44"/>
          <w:szCs w:val="44"/>
          <w:lang w:val="en-US" w:eastAsia="zh-CN"/>
        </w:rPr>
      </w:pPr>
    </w:p>
    <w:p w14:paraId="1930F8D6">
      <w:pPr>
        <w:ind w:firstLine="3682" w:firstLineChars="837"/>
        <w:rPr>
          <w:rFonts w:hint="eastAsia" w:ascii="楷体_GB2312" w:hAnsi="Times New Roman" w:eastAsia="楷体_GB2312" w:cs="Times New Roman"/>
          <w:sz w:val="44"/>
          <w:szCs w:val="44"/>
          <w:lang w:val="en-US" w:eastAsia="zh-CN"/>
        </w:rPr>
      </w:pPr>
    </w:p>
    <w:p w14:paraId="23D8F069">
      <w:pPr>
        <w:ind w:firstLine="3682" w:firstLineChars="837"/>
        <w:rPr>
          <w:rFonts w:hint="eastAsia" w:ascii="楷体_GB2312" w:hAnsi="Times New Roman" w:eastAsia="楷体_GB2312" w:cs="Times New Roman"/>
          <w:sz w:val="44"/>
          <w:szCs w:val="44"/>
          <w:lang w:val="en-US" w:eastAsia="zh-CN"/>
        </w:rPr>
      </w:pPr>
    </w:p>
    <w:p w14:paraId="21F48DF3">
      <w:pPr>
        <w:ind w:firstLine="3682" w:firstLineChars="837"/>
        <w:rPr>
          <w:rFonts w:hint="eastAsia" w:ascii="楷体_GB2312" w:hAnsi="Times New Roman" w:eastAsia="楷体_GB2312" w:cs="Times New Roman"/>
          <w:sz w:val="44"/>
          <w:szCs w:val="44"/>
          <w:lang w:val="en-US" w:eastAsia="zh-CN"/>
        </w:rPr>
      </w:pPr>
    </w:p>
    <w:p w14:paraId="6FD587C2">
      <w:pPr>
        <w:ind w:firstLine="3682" w:firstLineChars="837"/>
        <w:rPr>
          <w:rFonts w:hint="eastAsia" w:ascii="楷体_GB2312" w:hAnsi="Times New Roman" w:eastAsia="楷体_GB2312" w:cs="Times New Roman"/>
          <w:sz w:val="44"/>
          <w:szCs w:val="44"/>
          <w:lang w:val="en-US" w:eastAsia="zh-CN"/>
        </w:rPr>
      </w:pPr>
    </w:p>
    <w:p w14:paraId="3CFA0BBA">
      <w:pPr>
        <w:ind w:firstLine="3682" w:firstLineChars="837"/>
        <w:rPr>
          <w:rFonts w:hint="eastAsia" w:ascii="楷体_GB2312" w:hAnsi="Times New Roman" w:eastAsia="楷体_GB2312" w:cs="Times New Roman"/>
          <w:sz w:val="44"/>
          <w:szCs w:val="44"/>
          <w:lang w:val="en-US" w:eastAsia="zh-CN"/>
        </w:rPr>
      </w:pPr>
    </w:p>
    <w:p w14:paraId="385FDF23">
      <w:pPr>
        <w:ind w:firstLine="3682" w:firstLineChars="837"/>
        <w:rPr>
          <w:rFonts w:hint="eastAsia" w:ascii="楷体_GB2312" w:hAnsi="Times New Roman" w:eastAsia="楷体_GB2312" w:cs="Times New Roman"/>
          <w:sz w:val="44"/>
          <w:szCs w:val="44"/>
          <w:lang w:val="en-US" w:eastAsia="zh-CN"/>
        </w:rPr>
      </w:pPr>
    </w:p>
    <w:p w14:paraId="152DE556">
      <w:pPr>
        <w:ind w:firstLine="3682" w:firstLineChars="837"/>
        <w:rPr>
          <w:rFonts w:hint="eastAsia" w:ascii="楷体_GB2312" w:hAnsi="Times New Roman" w:eastAsia="楷体_GB2312" w:cs="Times New Roman"/>
          <w:sz w:val="44"/>
          <w:szCs w:val="44"/>
          <w:lang w:val="en-US" w:eastAsia="zh-CN"/>
        </w:rPr>
      </w:pPr>
    </w:p>
    <w:p w14:paraId="544B6188">
      <w:pPr>
        <w:ind w:firstLine="3682" w:firstLineChars="837"/>
        <w:rPr>
          <w:rFonts w:hint="eastAsia" w:ascii="楷体_GB2312" w:hAnsi="Times New Roman" w:eastAsia="楷体_GB2312" w:cs="Times New Roman"/>
          <w:sz w:val="44"/>
          <w:szCs w:val="44"/>
          <w:lang w:val="en-US" w:eastAsia="zh-CN"/>
        </w:rPr>
      </w:pPr>
    </w:p>
    <w:p w14:paraId="15C2EA09">
      <w:pPr>
        <w:ind w:firstLine="3682" w:firstLineChars="837"/>
        <w:rPr>
          <w:rFonts w:hint="eastAsia" w:ascii="楷体_GB2312" w:hAnsi="Times New Roman" w:eastAsia="楷体_GB2312" w:cs="Times New Roman"/>
          <w:sz w:val="44"/>
          <w:szCs w:val="44"/>
          <w:lang w:val="en-US" w:eastAsia="zh-CN"/>
        </w:rPr>
      </w:pPr>
    </w:p>
    <w:p w14:paraId="51547067">
      <w:pPr>
        <w:ind w:firstLine="3682" w:firstLineChars="837"/>
        <w:rPr>
          <w:rFonts w:hint="eastAsia" w:ascii="楷体_GB2312" w:hAnsi="Times New Roman" w:eastAsia="楷体_GB2312" w:cs="Times New Roman"/>
          <w:sz w:val="44"/>
          <w:szCs w:val="44"/>
          <w:lang w:val="en-US" w:eastAsia="zh-CN"/>
        </w:rPr>
      </w:pPr>
    </w:p>
    <w:p w14:paraId="0062B595">
      <w:pPr>
        <w:jc w:val="center"/>
        <w:rPr>
          <w:rFonts w:hint="eastAsia" w:ascii="楷体_GB2312" w:hAnsi="Times New Roman" w:eastAsia="楷体_GB2312" w:cs="Times New Roman"/>
          <w:sz w:val="44"/>
          <w:szCs w:val="44"/>
        </w:rPr>
      </w:pPr>
      <w:r>
        <w:rPr>
          <w:rFonts w:hint="eastAsia" w:ascii="楷体_GB2312" w:hAnsi="Times New Roman" w:eastAsia="楷体_GB2312" w:cs="Times New Roman"/>
          <w:sz w:val="44"/>
          <w:szCs w:val="44"/>
          <w:lang w:val="en-US" w:eastAsia="zh-CN"/>
        </w:rPr>
        <w:t>第二部分</w:t>
      </w:r>
    </w:p>
    <w:p w14:paraId="1C29EE65">
      <w:pPr>
        <w:jc w:val="center"/>
        <w:rPr>
          <w:rFonts w:hint="eastAsia" w:ascii="楷体_GB2312" w:hAnsi="Times New Roman" w:eastAsia="楷体_GB2312" w:cs="Times New Roman"/>
          <w:sz w:val="44"/>
          <w:szCs w:val="44"/>
        </w:rPr>
      </w:pPr>
      <w:r>
        <w:rPr>
          <w:rFonts w:hint="eastAsia" w:ascii="楷体_GB2312" w:hAnsi="Times New Roman" w:eastAsia="楷体_GB2312" w:cs="Times New Roman"/>
          <w:sz w:val="44"/>
          <w:szCs w:val="44"/>
          <w:lang w:val="en-US" w:eastAsia="zh-CN"/>
        </w:rPr>
        <w:t>庄河市委党校2021年部门预算表</w:t>
      </w:r>
    </w:p>
    <w:p w14:paraId="4697DC2A">
      <w:pPr>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（详见附件）</w:t>
      </w:r>
    </w:p>
    <w:p w14:paraId="050729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5E1A7FE">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一、收支预算总表</w:t>
      </w:r>
    </w:p>
    <w:p w14:paraId="5DAB64E0">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二、收入预算总表</w:t>
      </w:r>
    </w:p>
    <w:p w14:paraId="7BEEF377">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三、支出预算总表</w:t>
      </w:r>
    </w:p>
    <w:p w14:paraId="0EE52958">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四、支出功能分类预算表</w:t>
      </w:r>
    </w:p>
    <w:p w14:paraId="3238040A">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五、支出经济分类预算表</w:t>
      </w:r>
    </w:p>
    <w:p w14:paraId="47BB5060">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六、财政拨款预算总表</w:t>
      </w:r>
    </w:p>
    <w:p w14:paraId="7100BEF8">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七、一般公共预算支出表</w:t>
      </w:r>
    </w:p>
    <w:p w14:paraId="05FAC99F">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八、一般公共预算基本支出表</w:t>
      </w:r>
    </w:p>
    <w:p w14:paraId="2BE8DA23">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九、一般公共预算“三公”经费支出预算表</w:t>
      </w:r>
    </w:p>
    <w:p w14:paraId="5F3E0E8A">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十、政府性基金预算支出表</w:t>
      </w:r>
    </w:p>
    <w:p w14:paraId="1B82F1A7">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十一、国有资本经营预算支出表</w:t>
      </w:r>
    </w:p>
    <w:p w14:paraId="677DF766">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十二、项目支出表</w:t>
      </w:r>
    </w:p>
    <w:p w14:paraId="48CD6705">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十三、政府采购预算表</w:t>
      </w:r>
    </w:p>
    <w:p w14:paraId="2FD2BDFB">
      <w:pPr>
        <w:adjustRightInd w:val="0"/>
        <w:snapToGrid w:val="0"/>
        <w:spacing w:line="220" w:lineRule="atLeas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十四、政府购买服务预算表</w:t>
      </w:r>
    </w:p>
    <w:p w14:paraId="7806F2E5">
      <w:pPr>
        <w:adjustRightInd w:val="0"/>
        <w:snapToGrid w:val="0"/>
        <w:spacing w:line="220" w:lineRule="atLeast"/>
        <w:rPr>
          <w:rFonts w:hint="eastAsia" w:ascii="仿宋_GB2312" w:hAnsi="Times New Roman" w:eastAsia="仿宋_GB2312" w:cs="Times New Roman"/>
          <w:sz w:val="32"/>
          <w:szCs w:val="32"/>
        </w:rPr>
      </w:pPr>
    </w:p>
    <w:p w14:paraId="7AC531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206DF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81F0D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59861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2619F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C30ED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FA1A8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BC5AA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DF91055">
      <w:pPr>
        <w:jc w:val="center"/>
        <w:rPr>
          <w:rFonts w:hint="eastAsia" w:ascii="楷体_GB2312" w:hAnsi="Times New Roman" w:eastAsia="楷体_GB2312" w:cs="Times New Roman"/>
          <w:sz w:val="44"/>
          <w:szCs w:val="44"/>
        </w:rPr>
      </w:pPr>
      <w:r>
        <w:rPr>
          <w:rFonts w:hint="eastAsia" w:ascii="楷体_GB2312" w:hAnsi="Times New Roman" w:eastAsia="楷体_GB2312" w:cs="Times New Roman"/>
          <w:sz w:val="44"/>
          <w:szCs w:val="44"/>
          <w:lang w:val="en-US" w:eastAsia="zh-CN"/>
        </w:rPr>
        <w:t>第三部分</w:t>
      </w:r>
    </w:p>
    <w:p w14:paraId="11DA01BD">
      <w:pPr>
        <w:jc w:val="center"/>
        <w:rPr>
          <w:rFonts w:hint="eastAsia" w:ascii="楷体_GB2312" w:hAnsi="Times New Roman" w:eastAsia="楷体_GB2312" w:cs="Times New Roman"/>
          <w:sz w:val="44"/>
          <w:szCs w:val="44"/>
        </w:rPr>
      </w:pPr>
      <w:r>
        <w:rPr>
          <w:rFonts w:hint="eastAsia" w:ascii="楷体_GB2312" w:hAnsi="Times New Roman" w:eastAsia="楷体_GB2312" w:cs="Times New Roman"/>
          <w:sz w:val="44"/>
          <w:szCs w:val="44"/>
          <w:lang w:val="en-US" w:eastAsia="zh-CN"/>
        </w:rPr>
        <w:t>庄河市委党校2021年部门预算情况说明</w:t>
      </w:r>
    </w:p>
    <w:p w14:paraId="7A890548">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一、2021年部门收支预算情况</w:t>
      </w:r>
    </w:p>
    <w:p w14:paraId="0B3B2D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收入预算455万元，比2020年减少11.1万元。其中：一般公共预算拨款收入455万元，政府性基金预算拨款收入0万元，国有资本经营预算拨款收入0万元，财政专户管理资金收入0万元，事业收入0万元，上级补助收入0万元，附属单位上缴收入0万元，事业单位经营收入0万元, 其他收入0万元, 上年结转结余0万元。</w:t>
      </w:r>
    </w:p>
    <w:p w14:paraId="6D9B90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2021年支出预算455万元，比2020年减少11.1万元。其中：人员经费318万元，公用经费45万元，部门预算项目经费92万元,本年预留项目经费0万元。</w:t>
      </w:r>
    </w:p>
    <w:p w14:paraId="4768BF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年终结转结余0万元。</w:t>
      </w:r>
    </w:p>
    <w:p w14:paraId="0C6BD82B">
      <w:pPr>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二、2021年财政拨款收支预算情况</w:t>
      </w:r>
    </w:p>
    <w:p w14:paraId="57CD7E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2021年财政拨款收入预算455万元，比2020年减少11.1万元。其中：一般公共预算收入455万元，政府性基金收入0万元，国有资本经营预算收入0万元。</w:t>
      </w:r>
    </w:p>
    <w:p w14:paraId="4FF774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2021年财政拨款支出预算455万元，比2020年减少11.1万元。按照“人员经费按实际，公用经费按定额，项目经费按需要与可能”的原则编制。其中：人员经费318万元，公用经费45万元, 部门预算项目经费92万元, 本年预留项目经费0 万元。</w:t>
      </w:r>
    </w:p>
    <w:p w14:paraId="7F4BE1D5">
      <w:pPr>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三、2021年一般公共预算支出预算情况</w:t>
      </w:r>
    </w:p>
    <w:p w14:paraId="0955CA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（一）一般公共预算支出总体情况</w:t>
      </w:r>
    </w:p>
    <w:p w14:paraId="310395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2021年一般公共预算支出455万元，占本年支出合计的100%。与2020年相比，一般公共预算支出减少11.1万元，下降2.38%。主要原因：人员调动。</w:t>
      </w:r>
    </w:p>
    <w:p w14:paraId="7F25F6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（二）一般公共预算支出结构</w:t>
      </w:r>
    </w:p>
    <w:p w14:paraId="64F2BA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2021年一般公共预算支出455万元，主要用于以下方面：</w:t>
      </w:r>
    </w:p>
    <w:p w14:paraId="7379DC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1、教育支出（类）321.3万元，比2020年预算减少6.4万元，下降1.95%，主要原因：人员调动。</w:t>
      </w:r>
    </w:p>
    <w:p w14:paraId="112AEE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2、社会保障和就业支出（类）58.4万元，比2020年预算减少1.5万元，下降2.5%，主要原因：人员调动。</w:t>
      </w:r>
    </w:p>
    <w:p w14:paraId="47C731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3、卫生健康支出（类）27.4万元，比2020年预算减少1.1万元，下降3.86%，主要原因：人员调动。</w:t>
      </w:r>
    </w:p>
    <w:p w14:paraId="0F140D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4、住房保障支出（类）47.9万元，比2020年预算减少2.1万元，下降4.2%，主要原因：人员调动。</w:t>
      </w:r>
    </w:p>
    <w:p w14:paraId="1CAD3AE4">
      <w:pPr>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四、2021年一般公共预算基本支出情况</w:t>
      </w:r>
    </w:p>
    <w:p w14:paraId="57A9B7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2021年一般公共预算基本支出363万元，包括人员经费318万元，日常公用经费45万元。其中：</w:t>
      </w:r>
    </w:p>
    <w:p w14:paraId="7FC17F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1、工资福利支出283.9万元，主要用于：基本工资、津贴补贴、绩效工资、机关事业单位基本养老保险缴费、职工基本医疗保险缴费、公务员医疗补助缴费、其他社会保障缴费、住房公积金。</w:t>
      </w:r>
    </w:p>
    <w:p w14:paraId="09F0EA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2、商品和服务支出45万元，主要用于：办公费、印刷费、电费、邮电费、取暖费、差旅费、公务接待费、工会经费、福利费、公务用车运行维护费、其他交通费用、其他商品和服务支出。</w:t>
      </w:r>
    </w:p>
    <w:p w14:paraId="11329E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3、对个人和家庭的补助34.1万元，主要用于：离休费、退休费、生活补助、奖励金。</w:t>
      </w:r>
    </w:p>
    <w:p w14:paraId="0ABDFA2A">
      <w:pPr>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五、“三公”经费预算情况说明</w:t>
      </w:r>
    </w:p>
    <w:p w14:paraId="6B4313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庄河市委党校2021年“三公”经费财政拨款预算为3.4万元，包括党校本部以及下属0家与市级财政有经费领拨关系的预算单位使用市级财政拨款预算安排的因公出国（境）费、公务接待费、公务用车购置及运行费，比2020年预算增加0万元。其中：</w:t>
      </w:r>
    </w:p>
    <w:p w14:paraId="6F13C9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因公出国（境）费预算0万元，主要安排机关及下属预算单位人员的国际合作交流、重大项目洽谈、境外培训研修等的国际旅费、国外城市间交通费、住宿费、伙食费、保险费、公杂费等支出。比2020年预算增加0万元，主要原因是2021年预算未安排此项支出。</w:t>
      </w:r>
    </w:p>
    <w:p w14:paraId="2C3596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务接待费预算0.4万元，主要安排全国性专业会议、国家重大政策调研、专项检查以及外事团组接待交流等执行公务或开展业务所需住宿费、交通费、伙食费等支出。比2020年预算增加0万元，主要原因是按照中央及市委、市政府关于厉行节约、改进工作作风、密切联系群众中央八项规定等有关要求，严格控制“三公”经费支出。</w:t>
      </w:r>
    </w:p>
    <w:p w14:paraId="194412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务用车购置及运行费预算3万元（其中，公务用车购置费0万元，公务用车运行费3万元），主要安排编制内公务车辆的报废更新，以及用于安排市内因公出差、公务文件交换、日常工作开展等所需公务用车燃料费、维修费、过路过桥费、保险费等支出。比2020年预算增加0万元，主要原因是按照中央及市委、市政府关于厉行节约、改进工作作风、密切联系群众中央八项规定等有关要求，严格控制“三公”经费支出。</w:t>
      </w:r>
    </w:p>
    <w:p w14:paraId="737B87D5">
      <w:pPr>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六、政府性基金预算支出情况</w:t>
      </w:r>
    </w:p>
    <w:p w14:paraId="35635B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2021年本部门无政府性基金预算。</w:t>
      </w:r>
    </w:p>
    <w:p w14:paraId="211125D3">
      <w:pPr>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七、国有资本经营预算支出情况</w:t>
      </w:r>
    </w:p>
    <w:p w14:paraId="5F3191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2021年度本部门无国有资本经营预算。</w:t>
      </w:r>
    </w:p>
    <w:p w14:paraId="265F3E36">
      <w:pPr>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八、其他重要事项的情况说明</w:t>
      </w:r>
    </w:p>
    <w:p w14:paraId="657A5E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（一）食堂改建（车库改造）项目情况说明</w:t>
      </w:r>
    </w:p>
    <w:p w14:paraId="5A990C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1、项目概述</w:t>
      </w:r>
    </w:p>
    <w:p w14:paraId="588628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庄河市委党校原有食堂卫生和安全条件严重不合格，市市场监督部门多次书面要求整改。依据辽宁省委（［2016］16号）、大连市委（［2016］34号）、庄河市委（［2016］32号）文件中关于加强和改进新形势下党校基础设施和办学条件的精神要求，庄河市委党校经过请示组织部领导以及市政府主要和分管领导，并经他们书面批复同意以及市发改局立项批复，方开始进行该项目。</w:t>
      </w:r>
    </w:p>
    <w:p w14:paraId="3D9DA3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主要建设内容为车库改建，总建筑面积492.55平方米。项目总投资110万元，资金来源为庄河市本级财政资金。项目委托庄河市经济发展服务中心，以竞争性磋商采购的方式，确定了成交供应商为大连陆泰建设有限公司，成交价为1096981.07元。</w:t>
      </w:r>
    </w:p>
    <w:p w14:paraId="458235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2、立项依据</w:t>
      </w:r>
    </w:p>
    <w:p w14:paraId="5359DE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依据《中共辽宁省委关于加强和改进新形势下党校工作的实施意见》（辽委发［2016］16号）、《中共大连市委关于加强和改进新形势下党校工作的实施意见》（大委发［2016］34号）、《中共庄河市委关于加强和改进新形势下党校工作的实施意见》（庄委发［2016］32号）文件精神：“按照具有良好的学员教室、学员宿舍、学员食堂、学员图书馆、教职工备课办公场所、信息化设备的标准，加强党校基础设施改造和建设，改善办学条件，确保五年内全部达标，相关经费由同级财政性资金等途径解决”的要求，2019年9月23日，庄河市发展和改革局经市政府同意，予以批复立项，项目编号为：庄发改投批［2019］57号。</w:t>
      </w:r>
    </w:p>
    <w:p w14:paraId="104F56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3、实施主体</w:t>
      </w:r>
    </w:p>
    <w:p w14:paraId="601765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项目具体组织实施的部门：中共庄河市委党校</w:t>
      </w:r>
    </w:p>
    <w:p w14:paraId="61F680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4、实施方案</w:t>
      </w:r>
    </w:p>
    <w:p w14:paraId="1C8D2F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委党校原有食堂不仅卫生和安全条件不达标，同时由于面积狭小，越来越不能满足逐步增多的受训学员的就餐要求。改建好食堂，就是要力争一次性可满足200名参训学员的就餐需求。受疫情影响，本工程在去年3月中旬才施工。为保证施工安全和质量，项目还聘请监理单位参与全程监督管理，并制定了详细的实施方案。</w:t>
      </w:r>
    </w:p>
    <w:p w14:paraId="0EF11D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5、实施周期</w:t>
      </w:r>
    </w:p>
    <w:p w14:paraId="589AFF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2019年11月20日——2020年6月30日</w:t>
      </w:r>
    </w:p>
    <w:p w14:paraId="035434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6、年度预算安排</w:t>
      </w:r>
    </w:p>
    <w:p w14:paraId="238C22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市长批复和双方签订合同，项目2020年竣工验收合格后支付合同价款的50%，2021年6月30日前支付合同价款的30%，剩余款项即合同价款的20%，于2022年6月30日前一次性付清。2021年拟安排该项目一般公共预算30%工程款33万元以及追加工程款22.8万元，因此，2021年该项目预算为55.8万元。</w:t>
      </w:r>
    </w:p>
    <w:p w14:paraId="46DBAC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（二）机关（事业）运行经费预算</w:t>
      </w:r>
    </w:p>
    <w:p w14:paraId="6D4891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机关（事业）运行经费是指行政机关（事业）使用一般公共预算财政拨款安排的基本支出中的公用经费支出。2021年度机关(事业)运行经费财政拨款预算130.8万元, 比2020年预算增加85万元，增长185.59%，主要原因是本年度机关(事业)运行经费包括项目预算经费85万元。</w:t>
      </w:r>
    </w:p>
    <w:p w14:paraId="52FA33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（三）政府采购情况</w:t>
      </w:r>
    </w:p>
    <w:p w14:paraId="7DED1F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2021年度本部门政府采购预算0万元，其中：货物类预算0万元、服务类预算0万元、工程类预算0万元。</w:t>
      </w:r>
    </w:p>
    <w:p w14:paraId="61FB02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（四）预算绩效情况</w:t>
      </w:r>
    </w:p>
    <w:p w14:paraId="48776D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2021年，按照“先有绩效，后有预算”原则，本部门共计编制绩效目标3个，预算金额92万元，占项目支出预算比重100%。</w:t>
      </w:r>
    </w:p>
    <w:p w14:paraId="144E90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（五）国有资产占有使用情况</w:t>
      </w:r>
    </w:p>
    <w:p w14:paraId="2CA347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截至2020年12月31日，本部门共有车辆1辆，其中，副部（省）级及以上领导用车0辆，主要领导干部用车0辆，机要通信用车0辆，应急保障用车0辆, 执法执勤用车0辆，特种专业技术用车0辆，离退休干部用车0辆，其他用车1辆，其他用车主要是业务用车。单位价值50万元（含）以上通用设备0台（套），单位价值100万元以上专用设备0台（套）。</w:t>
      </w:r>
    </w:p>
    <w:p w14:paraId="3034C9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FF027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954E8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331B0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1423D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78AAC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028B6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BBCCD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E98C7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7C2E465">
      <w:pPr>
        <w:ind w:firstLine="3960" w:firstLineChars="900"/>
        <w:rPr>
          <w:rFonts w:hint="eastAsia" w:ascii="楷体_GB2312" w:hAnsi="Times New Roman" w:eastAsia="楷体_GB2312" w:cs="Times New Roman"/>
          <w:color w:val="000000"/>
          <w:sz w:val="44"/>
          <w:szCs w:val="44"/>
        </w:rPr>
      </w:pPr>
      <w:r>
        <w:rPr>
          <w:rFonts w:hint="eastAsia" w:ascii="楷体_GB2312" w:hAnsi="Times New Roman" w:eastAsia="楷体_GB2312" w:cs="Times New Roman"/>
          <w:color w:val="000000"/>
          <w:sz w:val="44"/>
          <w:szCs w:val="44"/>
          <w:lang w:val="en-US" w:eastAsia="zh-CN"/>
        </w:rPr>
        <w:t>第四部分</w:t>
      </w:r>
    </w:p>
    <w:p w14:paraId="6AA4D077">
      <w:pPr>
        <w:ind w:firstLine="3960" w:firstLineChars="900"/>
        <w:rPr>
          <w:rFonts w:hint="eastAsia" w:ascii="楷体_GB2312" w:hAnsi="Times New Roman" w:eastAsia="楷体_GB2312" w:cs="Times New Roman"/>
          <w:color w:val="000000"/>
          <w:sz w:val="44"/>
          <w:szCs w:val="44"/>
        </w:rPr>
      </w:pPr>
      <w:r>
        <w:rPr>
          <w:rFonts w:hint="eastAsia" w:ascii="楷体_GB2312" w:hAnsi="Times New Roman" w:eastAsia="楷体_GB2312" w:cs="Times New Roman"/>
          <w:color w:val="000000"/>
          <w:sz w:val="44"/>
          <w:szCs w:val="44"/>
          <w:lang w:val="en-US" w:eastAsia="zh-CN"/>
        </w:rPr>
        <w:t>名词解释</w:t>
      </w:r>
    </w:p>
    <w:p w14:paraId="3934AD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2CA14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1.财政拨款收入：指市财政当年拨付的资金。</w:t>
      </w:r>
    </w:p>
    <w:p w14:paraId="36EA56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2.事业收入：指事业单位开展专业业务活动及其辅助活动取得的收入。</w:t>
      </w:r>
    </w:p>
    <w:p w14:paraId="5A950B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3.经营收入：指事业单位在专业业务活动及其辅助活动之外开展非独立核算经营活动取得的收入。</w:t>
      </w:r>
    </w:p>
    <w:p w14:paraId="63839E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4.其他收入：指单位取得的除“财政拨款收入”、“事业收入”、“经营收入”等以外的收入。</w:t>
      </w:r>
    </w:p>
    <w:p w14:paraId="289FE6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5.基本支出：指为保障机构正常运转、完成日常工作任务而发生的人员支出和公用支出。</w:t>
      </w:r>
    </w:p>
    <w:p w14:paraId="5FFF2C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6.项目支出：指在基本支出之外为完成特定行政任务和事业发展目标所发生的支出。</w:t>
      </w:r>
    </w:p>
    <w:p w14:paraId="094C85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三公”经费：指用财政拨款安排的因公出国（境）费、公务用车购置及运行费和公务接待费。其中，因公出国（境）费反映单位公务出国（境）的住宿费、旅费、伙食补助费、杂费、培训费等支出；公务用车购置及运行费反映单位公务用车购置费以及按规定保留的公务用车燃料费、维修费、过路过桥费、保险费、安全奖励费用等支出；公务接待费反映单位按规定开支的各类公务接待（含外宾接待）支出。</w:t>
      </w:r>
    </w:p>
    <w:p w14:paraId="72E760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8.教育（类）进修及培训（款）干部教育（项）：反映党校、行政学院、社会主义学院支出，包括机构运转、招聘师资、举办各类培训班的支出。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9.社会保障和就业（类）行政事业单位离退休（款）归口管理的行政单位离退休（项）：反映实行归口管理的行政单位（包括实行公务员管理的事业单位）开支的离退休经费。</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 10.社会保障和就业（类）行政事业单位离退休（款）机关事业单位基本养老保险缴费支出（项）：反映机关事业单位缴纳的基本养老保险费。由单位代扣的工作人员基本养老保险缴费，不在此科目反映。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11.医疗卫生与计划生育（类）行政事业单位医疗（款）行政单位医疗（项）：反映财政部门集中安排的行政单位基本医疗保险缴费经费，未参加医疗保险的行政单位的公费医疗经费，按国家规定享受离休人员、红军老战士待遇人员的医疗经费。</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12.医疗卫生与计划生育（类）行政事业单位医疗（款）公务员医疗补助（项）：反映财政部门集中安排的公务员医疗补助经费。</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13.住房保障（类）住房改革（款）住房公积金（项）：反映行政事业单位按人力资源和社会保障部、财政部规定的基本工资和津贴补贴以及规定比例为职工缴纳的住房公积金。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14.住房保障（类）住房改革（款）提租补贴（项）：反映按房改政策规定的标准，行政事业单位向职工（含离退休）人员发放的租金补贴</w:t>
      </w:r>
    </w:p>
    <w:p w14:paraId="5FD270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53EC0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03528"/>
    <w:rsid w:val="4420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2025-09-15T07:41:00Z</dcterms:created>
  <dc:creator>九儿</dc:creator>
  <cp:lastModifiedBy>九儿</cp:lastModifiedBy>
  <dcterms:modified xsi:type="dcterms:W3CDTF">2025-09-15T07:52:36Z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4059E75A396A46F1A5207DAFFB466DD5_11</vt:lpwstr>
  </property>
  <property fmtid="{D5CDD505-2E9C-101B-9397-08002B2CF9AE}" pid="4" name="KSOTemplateDocerSaveRecord">
    <vt:lpwstr>eyJoZGlkIjoiYjM5NzM2OTcyMzVkMDE4OGRhMGJhMzRhYTMzMTk3YTQiLCJ1c2VySWQiOiIzOTk4MzAxMjUifQ==</vt:lpwstr>
  </property>
</Properties>
</file>