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cs="黑体"/>
          <w:color w:val="auto"/>
          <w:sz w:val="30"/>
          <w:szCs w:val="30"/>
        </w:rPr>
      </w:pPr>
    </w:p>
    <w:p>
      <w:pPr>
        <w:spacing w:line="360" w:lineRule="auto"/>
        <w:jc w:val="center"/>
        <w:rPr>
          <w:rFonts w:hint="eastAsia" w:ascii="黑体" w:eastAsia="黑体" w:cs="黑体"/>
          <w:color w:val="auto"/>
          <w:sz w:val="30"/>
          <w:szCs w:val="30"/>
        </w:rPr>
      </w:pPr>
    </w:p>
    <w:p>
      <w:pPr>
        <w:spacing w:line="360" w:lineRule="auto"/>
        <w:jc w:val="center"/>
        <w:rPr>
          <w:rFonts w:hint="eastAsia" w:ascii="黑体" w:eastAsia="黑体" w:cs="黑体"/>
          <w:color w:val="auto"/>
          <w:sz w:val="30"/>
          <w:szCs w:val="30"/>
        </w:rPr>
      </w:pPr>
    </w:p>
    <w:p>
      <w:pPr>
        <w:spacing w:line="360" w:lineRule="auto"/>
        <w:rPr>
          <w:rFonts w:hint="eastAsia" w:ascii="方正小标宋简体" w:eastAsia="方正小标宋简体" w:cs="黑体"/>
          <w:color w:val="auto"/>
          <w:sz w:val="30"/>
          <w:szCs w:val="30"/>
        </w:rPr>
      </w:pPr>
    </w:p>
    <w:p>
      <w:pPr>
        <w:spacing w:line="360" w:lineRule="auto"/>
        <w:jc w:val="center"/>
        <w:rPr>
          <w:rFonts w:ascii="方正小标宋简体" w:hAnsi="华文中宋" w:eastAsia="方正小标宋简体" w:cs="黑体"/>
          <w:b/>
          <w:color w:val="auto"/>
          <w:sz w:val="72"/>
          <w:szCs w:val="72"/>
        </w:rPr>
      </w:pPr>
      <w:r>
        <w:rPr>
          <w:rFonts w:hint="eastAsia" w:ascii="方正小标宋简体" w:hAnsi="华文中宋" w:eastAsia="方正小标宋简体" w:cs="黑体"/>
          <w:b/>
          <w:color w:val="auto"/>
          <w:sz w:val="72"/>
          <w:szCs w:val="72"/>
        </w:rPr>
        <w:t>庄河市荷花山</w:t>
      </w:r>
      <w:bookmarkStart w:id="0" w:name="_GoBack"/>
      <w:bookmarkEnd w:id="0"/>
      <w:r>
        <w:rPr>
          <w:rFonts w:hint="eastAsia" w:ascii="方正小标宋简体" w:hAnsi="华文中宋" w:eastAsia="方正小标宋简体" w:cs="黑体"/>
          <w:b/>
          <w:color w:val="auto"/>
          <w:sz w:val="72"/>
          <w:szCs w:val="72"/>
        </w:rPr>
        <w:t>镇人民政府</w:t>
      </w:r>
    </w:p>
    <w:p>
      <w:pPr>
        <w:spacing w:line="360" w:lineRule="auto"/>
        <w:jc w:val="center"/>
        <w:outlineLvl w:val="0"/>
        <w:rPr>
          <w:rFonts w:ascii="方正小标宋简体" w:hAnsi="华文中宋" w:eastAsia="方正小标宋简体" w:cs="黑体"/>
          <w:b/>
          <w:color w:val="auto"/>
          <w:sz w:val="28"/>
          <w:szCs w:val="28"/>
        </w:rPr>
      </w:pPr>
    </w:p>
    <w:p>
      <w:pPr>
        <w:spacing w:line="360" w:lineRule="auto"/>
        <w:jc w:val="center"/>
        <w:outlineLvl w:val="0"/>
        <w:rPr>
          <w:rFonts w:ascii="方正小标宋简体" w:hAnsi="华文中宋" w:eastAsia="方正小标宋简体" w:cs="黑体"/>
          <w:b/>
          <w:color w:val="auto"/>
          <w:sz w:val="28"/>
          <w:szCs w:val="28"/>
        </w:rPr>
      </w:pPr>
    </w:p>
    <w:p>
      <w:pPr>
        <w:spacing w:line="360" w:lineRule="auto"/>
        <w:jc w:val="center"/>
        <w:outlineLvl w:val="0"/>
        <w:rPr>
          <w:rFonts w:ascii="方正小标宋简体" w:hAnsi="华文中宋" w:eastAsia="方正小标宋简体" w:cs="黑体"/>
          <w:b/>
          <w:color w:val="auto"/>
          <w:sz w:val="28"/>
          <w:szCs w:val="28"/>
        </w:rPr>
      </w:pPr>
    </w:p>
    <w:p>
      <w:pPr>
        <w:spacing w:line="360" w:lineRule="auto"/>
        <w:jc w:val="center"/>
        <w:outlineLvl w:val="0"/>
        <w:rPr>
          <w:rFonts w:ascii="方正小标宋简体" w:hAnsi="华文中宋" w:eastAsia="方正小标宋简体" w:cs="黑体"/>
          <w:b/>
          <w:color w:val="auto"/>
          <w:sz w:val="28"/>
          <w:szCs w:val="28"/>
        </w:rPr>
      </w:pPr>
    </w:p>
    <w:p>
      <w:pPr>
        <w:spacing w:line="360" w:lineRule="auto"/>
        <w:jc w:val="center"/>
        <w:outlineLvl w:val="0"/>
        <w:rPr>
          <w:rFonts w:ascii="方正小标宋简体" w:hAnsi="华文中宋" w:eastAsia="方正小标宋简体" w:cs="黑体"/>
          <w:b/>
          <w:color w:val="auto"/>
          <w:sz w:val="72"/>
          <w:szCs w:val="72"/>
        </w:rPr>
      </w:pPr>
      <w:r>
        <w:rPr>
          <w:rFonts w:hint="eastAsia" w:ascii="方正小标宋简体" w:hAnsi="华文中宋" w:eastAsia="方正小标宋简体" w:cs="黑体"/>
          <w:b/>
          <w:color w:val="auto"/>
          <w:sz w:val="72"/>
          <w:szCs w:val="72"/>
          <w:lang w:eastAsia="zh-CN"/>
        </w:rPr>
        <w:t>2020</w:t>
      </w:r>
      <w:r>
        <w:rPr>
          <w:rFonts w:hint="eastAsia" w:ascii="方正小标宋简体" w:hAnsi="华文中宋" w:eastAsia="方正小标宋简体" w:cs="黑体"/>
          <w:b/>
          <w:color w:val="auto"/>
          <w:sz w:val="72"/>
          <w:szCs w:val="72"/>
        </w:rPr>
        <w:t>年度部门决算</w:t>
      </w:r>
    </w:p>
    <w:p>
      <w:pPr>
        <w:spacing w:line="360" w:lineRule="auto"/>
        <w:jc w:val="center"/>
        <w:rPr>
          <w:rFonts w:ascii="黑体" w:hAnsi="华文中宋" w:eastAsia="黑体" w:cs="黑体"/>
          <w:b/>
          <w:color w:val="auto"/>
          <w:sz w:val="32"/>
          <w:szCs w:val="32"/>
        </w:rPr>
      </w:pPr>
      <w:r>
        <w:rPr>
          <w:rFonts w:ascii="华文中宋" w:hAnsi="华文中宋" w:eastAsia="华文中宋" w:cs="黑体"/>
          <w:b/>
          <w:color w:val="auto"/>
          <w:sz w:val="44"/>
          <w:szCs w:val="44"/>
        </w:rPr>
        <w:drawing>
          <wp:anchor distT="0" distB="0" distL="114300" distR="114300" simplePos="0" relativeHeight="251659264" behindDoc="0" locked="0" layoutInCell="1" allowOverlap="1">
            <wp:simplePos x="0" y="0"/>
            <wp:positionH relativeFrom="column">
              <wp:posOffset>1089660</wp:posOffset>
            </wp:positionH>
            <wp:positionV relativeFrom="paragraph">
              <wp:posOffset>428625</wp:posOffset>
            </wp:positionV>
            <wp:extent cx="3079750" cy="2762885"/>
            <wp:effectExtent l="0" t="0" r="6350" b="18415"/>
            <wp:wrapNone/>
            <wp:docPr id="1" name="图片 2" descr="QQ截图2020111110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201111104232"/>
                    <pic:cNvPicPr>
                      <a:picLocks noChangeAspect="1"/>
                    </pic:cNvPicPr>
                  </pic:nvPicPr>
                  <pic:blipFill>
                    <a:blip r:embed="rId11"/>
                    <a:stretch>
                      <a:fillRect/>
                    </a:stretch>
                  </pic:blipFill>
                  <pic:spPr>
                    <a:xfrm rot="10800000">
                      <a:off x="0" y="0"/>
                      <a:ext cx="3079750" cy="2762885"/>
                    </a:xfrm>
                    <a:prstGeom prst="rect">
                      <a:avLst/>
                    </a:prstGeom>
                    <a:noFill/>
                    <a:ln>
                      <a:noFill/>
                    </a:ln>
                  </pic:spPr>
                </pic:pic>
              </a:graphicData>
            </a:graphic>
          </wp:anchor>
        </w:drawing>
      </w:r>
      <w:r>
        <w:rPr>
          <w:rFonts w:ascii="华文中宋" w:hAnsi="华文中宋" w:eastAsia="华文中宋" w:cs="黑体"/>
          <w:b/>
          <w:color w:val="auto"/>
          <w:sz w:val="44"/>
          <w:szCs w:val="44"/>
        </w:rPr>
        <w:br w:type="page"/>
      </w:r>
      <w:r>
        <w:rPr>
          <w:rFonts w:hint="eastAsia" w:ascii="黑体" w:hAnsi="华文中宋" w:eastAsia="黑体" w:cs="黑体"/>
          <w:b/>
          <w:color w:val="auto"/>
          <w:sz w:val="32"/>
          <w:szCs w:val="32"/>
        </w:rPr>
        <w:t>目</w:t>
      </w:r>
      <w:r>
        <w:rPr>
          <w:rFonts w:ascii="黑体" w:hAnsi="华文中宋" w:eastAsia="黑体" w:cs="黑体"/>
          <w:b/>
          <w:color w:val="auto"/>
          <w:sz w:val="32"/>
          <w:szCs w:val="32"/>
        </w:rPr>
        <w:t xml:space="preserve">  </w:t>
      </w:r>
      <w:r>
        <w:rPr>
          <w:rFonts w:hint="eastAsia" w:ascii="黑体" w:hAnsi="华文中宋" w:eastAsia="黑体" w:cs="黑体"/>
          <w:b/>
          <w:color w:val="auto"/>
          <w:sz w:val="32"/>
          <w:szCs w:val="32"/>
        </w:rPr>
        <w:t>录</w:t>
      </w:r>
    </w:p>
    <w:p>
      <w:pPr>
        <w:spacing w:line="360" w:lineRule="auto"/>
        <w:jc w:val="center"/>
        <w:rPr>
          <w:rFonts w:ascii="华文中宋" w:hAnsi="华文中宋" w:eastAsia="华文中宋" w:cs="黑体"/>
          <w:b/>
          <w:color w:val="auto"/>
          <w:sz w:val="36"/>
        </w:rPr>
      </w:pPr>
    </w:p>
    <w:p>
      <w:pPr>
        <w:spacing w:line="360" w:lineRule="auto"/>
        <w:rPr>
          <w:rFonts w:hint="eastAsia" w:ascii="黑体" w:eastAsia="黑体" w:cs="黑体"/>
          <w:color w:val="auto"/>
          <w:sz w:val="30"/>
          <w:szCs w:val="30"/>
        </w:rPr>
      </w:pPr>
      <w:r>
        <w:rPr>
          <w:rFonts w:hint="eastAsia" w:ascii="黑体" w:eastAsia="黑体" w:cs="黑体"/>
          <w:color w:val="auto"/>
          <w:sz w:val="30"/>
          <w:szCs w:val="30"/>
        </w:rPr>
        <w:t>第一部分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庄河市人民政府荷花山镇人民政府概况</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一、主要职能</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二、部门决算单位构成</w:t>
      </w:r>
    </w:p>
    <w:p>
      <w:pPr>
        <w:spacing w:line="360" w:lineRule="auto"/>
        <w:rPr>
          <w:rFonts w:hint="eastAsia" w:ascii="黑体" w:eastAsia="黑体" w:cs="黑体"/>
          <w:color w:val="auto"/>
          <w:sz w:val="30"/>
          <w:szCs w:val="30"/>
        </w:rPr>
      </w:pPr>
      <w:r>
        <w:rPr>
          <w:rFonts w:hint="eastAsia" w:ascii="黑体" w:eastAsia="黑体" w:cs="黑体"/>
          <w:color w:val="auto"/>
          <w:sz w:val="30"/>
          <w:szCs w:val="30"/>
        </w:rPr>
        <w:t>第二部分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w:t>
      </w:r>
      <w:r>
        <w:rPr>
          <w:rFonts w:hint="eastAsia" w:ascii="黑体" w:eastAsia="黑体" w:cs="黑体"/>
          <w:color w:val="auto"/>
          <w:sz w:val="30"/>
          <w:szCs w:val="30"/>
          <w:lang w:eastAsia="zh-CN"/>
        </w:rPr>
        <w:t>2020</w:t>
      </w:r>
      <w:r>
        <w:rPr>
          <w:rFonts w:hint="eastAsia" w:ascii="黑体" w:eastAsia="黑体" w:cs="黑体"/>
          <w:color w:val="auto"/>
          <w:sz w:val="30"/>
          <w:szCs w:val="30"/>
        </w:rPr>
        <w:t>年度部门决算表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一、收入支出决算总表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二、收入决算表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三、支出决算表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四、财政拨款收入支出决算总表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五、一般公共预算财政拨款支出决算表</w:t>
      </w:r>
    </w:p>
    <w:p>
      <w:pPr>
        <w:spacing w:line="360" w:lineRule="auto"/>
        <w:rPr>
          <w:rFonts w:hint="eastAsia" w:ascii="黑体" w:eastAsia="黑体" w:cs="黑体"/>
          <w:color w:val="auto"/>
          <w:sz w:val="30"/>
          <w:szCs w:val="30"/>
        </w:rPr>
      </w:pPr>
      <w:r>
        <w:rPr>
          <w:rFonts w:hint="eastAsia" w:ascii="楷体_GB2312" w:eastAsia="楷体_GB2312" w:cs="黑体"/>
          <w:color w:val="auto"/>
          <w:sz w:val="30"/>
          <w:szCs w:val="30"/>
        </w:rPr>
        <w:t>六、一般公共预算财政拨款基本支出决算表</w:t>
      </w:r>
    </w:p>
    <w:p>
      <w:pPr>
        <w:spacing w:line="360" w:lineRule="auto"/>
        <w:rPr>
          <w:rFonts w:hint="eastAsia" w:ascii="楷体_GB2312" w:eastAsia="楷体_GB2312" w:cs="黑体"/>
          <w:color w:val="auto"/>
          <w:sz w:val="30"/>
          <w:szCs w:val="30"/>
        </w:rPr>
      </w:pPr>
      <w:r>
        <w:rPr>
          <w:rFonts w:hint="eastAsia" w:ascii="楷体_GB2312" w:eastAsia="楷体_GB2312" w:cs="黑体"/>
          <w:color w:val="auto"/>
          <w:sz w:val="30"/>
          <w:szCs w:val="30"/>
        </w:rPr>
        <w:t>七、一般公共预算财政拨款“三公”经费及机关运行经费支出决算表</w:t>
      </w:r>
    </w:p>
    <w:p>
      <w:pPr>
        <w:spacing w:line="360" w:lineRule="auto"/>
        <w:rPr>
          <w:rFonts w:hint="eastAsia" w:ascii="楷体_GB2312" w:eastAsia="楷体_GB2312" w:cs="黑体"/>
          <w:color w:val="auto"/>
          <w:sz w:val="30"/>
          <w:szCs w:val="30"/>
        </w:rPr>
      </w:pPr>
      <w:r>
        <w:rPr>
          <w:rFonts w:hint="eastAsia" w:ascii="楷体_GB2312" w:eastAsia="楷体_GB2312" w:cs="黑体"/>
          <w:color w:val="auto"/>
          <w:sz w:val="30"/>
          <w:szCs w:val="30"/>
        </w:rPr>
        <w:t>八、政府性基金预算财政拨款收入支出决算表</w:t>
      </w:r>
    </w:p>
    <w:p>
      <w:pPr>
        <w:spacing w:line="360" w:lineRule="auto"/>
        <w:rPr>
          <w:rFonts w:hint="eastAsia" w:ascii="黑体" w:eastAsia="黑体" w:cs="黑体"/>
          <w:color w:val="auto"/>
          <w:sz w:val="30"/>
          <w:szCs w:val="30"/>
        </w:rPr>
      </w:pPr>
      <w:r>
        <w:rPr>
          <w:rFonts w:hint="eastAsia" w:ascii="黑体" w:eastAsia="黑体" w:cs="黑体"/>
          <w:color w:val="auto"/>
          <w:sz w:val="30"/>
          <w:szCs w:val="30"/>
        </w:rPr>
        <w:t>第三部分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w:t>
      </w:r>
      <w:r>
        <w:rPr>
          <w:rFonts w:hint="eastAsia" w:ascii="黑体" w:eastAsia="黑体" w:cs="黑体"/>
          <w:color w:val="auto"/>
          <w:sz w:val="30"/>
          <w:szCs w:val="30"/>
          <w:lang w:eastAsia="zh-CN"/>
        </w:rPr>
        <w:t>2019</w:t>
      </w:r>
      <w:r>
        <w:rPr>
          <w:rFonts w:hint="eastAsia" w:ascii="黑体" w:eastAsia="黑体" w:cs="黑体"/>
          <w:color w:val="auto"/>
          <w:sz w:val="30"/>
          <w:szCs w:val="30"/>
        </w:rPr>
        <w:t>年度部门决算情况说明</w:t>
      </w:r>
    </w:p>
    <w:p>
      <w:pPr>
        <w:spacing w:line="360" w:lineRule="auto"/>
        <w:rPr>
          <w:rFonts w:hint="eastAsia" w:ascii="黑体" w:eastAsia="黑体" w:cs="黑体"/>
          <w:color w:val="auto"/>
          <w:sz w:val="30"/>
          <w:szCs w:val="30"/>
        </w:rPr>
      </w:pPr>
      <w:r>
        <w:rPr>
          <w:rFonts w:hint="eastAsia" w:ascii="黑体" w:eastAsia="黑体" w:cs="黑体"/>
          <w:color w:val="auto"/>
          <w:sz w:val="30"/>
          <w:szCs w:val="30"/>
        </w:rPr>
        <w:t>第四部分</w:t>
      </w:r>
      <w:r>
        <w:rPr>
          <w:rFonts w:ascii="黑体" w:eastAsia="黑体" w:cs="黑体"/>
          <w:color w:val="auto"/>
          <w:sz w:val="30"/>
          <w:szCs w:val="30"/>
        </w:rPr>
        <w:t xml:space="preserve"> </w:t>
      </w:r>
      <w:r>
        <w:rPr>
          <w:rFonts w:hint="eastAsia" w:ascii="黑体" w:eastAsia="黑体" w:cs="黑体"/>
          <w:color w:val="auto"/>
          <w:sz w:val="30"/>
          <w:szCs w:val="30"/>
        </w:rPr>
        <w:t>名词解释</w:t>
      </w:r>
    </w:p>
    <w:p>
      <w:pPr>
        <w:spacing w:line="360" w:lineRule="auto"/>
        <w:rPr>
          <w:rFonts w:hint="eastAsia" w:ascii="黑体" w:eastAsia="黑体" w:cs="黑体"/>
          <w:color w:val="auto"/>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pPr>
    </w:p>
    <w:p>
      <w:pPr>
        <w:jc w:val="center"/>
        <w:rPr>
          <w:rFonts w:hint="eastAsia" w:ascii="黑体" w:eastAsia="黑体" w:cs="黑体"/>
          <w:color w:val="auto"/>
          <w:sz w:val="30"/>
          <w:szCs w:val="30"/>
        </w:rPr>
      </w:pPr>
      <w:r>
        <w:rPr>
          <w:rFonts w:hint="eastAsia" w:ascii="黑体" w:eastAsia="黑体" w:cs="黑体"/>
          <w:color w:val="auto"/>
          <w:sz w:val="30"/>
          <w:szCs w:val="30"/>
        </w:rPr>
        <w:t>第一部分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庄河市人民政府荷花山镇人民政府概况</w:t>
      </w:r>
    </w:p>
    <w:p>
      <w:pPr>
        <w:jc w:val="center"/>
        <w:rPr>
          <w:rFonts w:hint="eastAsia" w:ascii="黑体" w:eastAsia="黑体" w:cs="黑体"/>
          <w:color w:val="auto"/>
          <w:sz w:val="30"/>
          <w:szCs w:val="30"/>
        </w:rPr>
      </w:pP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一、主要职能</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（一）执行党和国家的各项方针、政策、法令、法规，在市委、市政府领导下完成各项任务。</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二）建设社会主义物质文明和精神文明，以经济建设为中心，发展街道商业、服务业，指导街道经济组织发展经济，拓宽经济活动的领域，为经济组织提供服务，运用经济、法律和必要的行政手段管理街道经济。把街道建设成为经济繁荣、文化发达、道德高尚、社会安定、生活方便、环境优美的社会主义新城区。</w:t>
      </w:r>
      <w:r>
        <w:rPr>
          <w:rFonts w:ascii="仿宋_GB2312" w:eastAsia="仿宋_GB2312" w:cs="黑体"/>
          <w:color w:val="auto"/>
          <w:sz w:val="30"/>
          <w:szCs w:val="30"/>
        </w:rPr>
        <w:t xml:space="preserve">       </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（三）负责辖区内的社会治安综合治理，人民调解、法律服务工作，依照有关规定管理外来流动人员。</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（四）开展社区服务、拥军优属工作，负责社区优抚、社会救济、社会福利、婚姻登记工作，兴办社会福利及残疾人福利事业，社区文化、科普、体育、教育工作。</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（五）按照职责范围做好城市建设管理监察、计划生育、爱国卫生、初级卫生保健、市容环境卫生、绿化、环境保护、劳动就业、安全生产等管理工作。</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（六）配合有关部门做好防汛、防风、防火、防震、抢险和防灾救灾工作。</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（七）指导和帮助社区居民委员会的工作，促进社区居民委员会的依法建设和发挥</w:t>
      </w:r>
      <w:r>
        <w:rPr>
          <w:rFonts w:ascii="仿宋_GB2312" w:eastAsia="仿宋_GB2312" w:cs="黑体"/>
          <w:color w:val="auto"/>
          <w:sz w:val="30"/>
          <w:szCs w:val="30"/>
        </w:rPr>
        <w:t>"</w:t>
      </w:r>
      <w:r>
        <w:rPr>
          <w:rFonts w:hint="eastAsia" w:ascii="仿宋_GB2312" w:eastAsia="仿宋_GB2312" w:cs="黑体"/>
          <w:color w:val="auto"/>
          <w:sz w:val="30"/>
          <w:szCs w:val="30"/>
        </w:rPr>
        <w:t>三自</w:t>
      </w:r>
      <w:r>
        <w:rPr>
          <w:rFonts w:ascii="仿宋_GB2312" w:eastAsia="仿宋_GB2312" w:cs="黑体"/>
          <w:color w:val="auto"/>
          <w:sz w:val="30"/>
          <w:szCs w:val="30"/>
        </w:rPr>
        <w:t>"</w:t>
      </w:r>
      <w:r>
        <w:rPr>
          <w:rFonts w:hint="eastAsia" w:ascii="仿宋_GB2312" w:eastAsia="仿宋_GB2312" w:cs="黑体"/>
          <w:color w:val="auto"/>
          <w:sz w:val="30"/>
          <w:szCs w:val="30"/>
        </w:rPr>
        <w:t>（自我教育、自我管理、自我服务）作用。</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（八）向市政府反映居民群众的意见和要求，办理人民群众的来信来访等事项。</w:t>
      </w:r>
    </w:p>
    <w:p>
      <w:pPr>
        <w:ind w:firstLine="600" w:firstLineChars="200"/>
        <w:outlineLvl w:val="0"/>
        <w:rPr>
          <w:rFonts w:hint="eastAsia" w:ascii="仿宋_GB2312" w:eastAsia="仿宋_GB2312" w:cs="黑体"/>
          <w:color w:val="auto"/>
          <w:sz w:val="30"/>
          <w:szCs w:val="30"/>
        </w:rPr>
      </w:pPr>
      <w:r>
        <w:rPr>
          <w:rFonts w:hint="eastAsia" w:ascii="仿宋_GB2312" w:eastAsia="仿宋_GB2312" w:cs="黑体"/>
          <w:color w:val="auto"/>
          <w:sz w:val="30"/>
          <w:szCs w:val="30"/>
        </w:rPr>
        <w:t>（九）承办市政府交办的其他事项。</w:t>
      </w:r>
    </w:p>
    <w:p>
      <w:pPr>
        <w:ind w:firstLine="602" w:firstLineChars="200"/>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二、部门决算单位构成</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rPr>
        <w:t>从预算单位构成看，</w:t>
      </w:r>
      <w:r>
        <w:rPr>
          <w:rFonts w:hint="eastAsia" w:ascii="仿宋_GB2312" w:hAnsi="宋体" w:eastAsia="仿宋_GB2312" w:cs="黑体"/>
          <w:color w:val="auto"/>
          <w:sz w:val="30"/>
          <w:szCs w:val="30"/>
        </w:rPr>
        <w:t>庄河市</w:t>
      </w:r>
      <w:r>
        <w:rPr>
          <w:rFonts w:hint="eastAsia" w:ascii="黑体" w:eastAsia="黑体" w:cs="黑体"/>
          <w:color w:val="auto"/>
          <w:sz w:val="30"/>
          <w:szCs w:val="30"/>
        </w:rPr>
        <w:t>人民政府荷花山镇人民政府</w:t>
      </w:r>
      <w:r>
        <w:rPr>
          <w:rFonts w:hint="eastAsia" w:ascii="仿宋_GB2312" w:eastAsia="仿宋_GB2312" w:cs="黑体"/>
          <w:color w:val="auto"/>
          <w:sz w:val="30"/>
          <w:szCs w:val="30"/>
        </w:rPr>
        <w:t>决算包括：人民政府荷花山镇人民政府。</w:t>
      </w:r>
    </w:p>
    <w:p>
      <w:pPr>
        <w:rPr>
          <w:rFonts w:hint="eastAsia" w:ascii="仿宋_GB2312" w:eastAsia="仿宋_GB2312" w:cs="黑体"/>
          <w:color w:val="auto"/>
          <w:sz w:val="30"/>
          <w:szCs w:val="30"/>
        </w:rPr>
      </w:pPr>
      <w:r>
        <w:rPr>
          <w:rFonts w:hint="eastAsia" w:ascii="仿宋_GB2312" w:eastAsia="仿宋_GB2312" w:cs="黑体"/>
          <w:color w:val="auto"/>
          <w:sz w:val="30"/>
          <w:szCs w:val="30"/>
        </w:rPr>
        <w:t>纳入</w:t>
      </w:r>
      <w:r>
        <w:rPr>
          <w:rFonts w:hint="eastAsia" w:ascii="仿宋_GB2312" w:hAnsi="宋体" w:eastAsia="仿宋_GB2312" w:cs="黑体"/>
          <w:color w:val="auto"/>
          <w:sz w:val="30"/>
          <w:szCs w:val="30"/>
        </w:rPr>
        <w:t>庄河市人民政府荷花山镇</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年度部门决算编制范围的单位包括：</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7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00" w:type="dxa"/>
            <w:vAlign w:val="center"/>
          </w:tcPr>
          <w:p>
            <w:pPr>
              <w:jc w:val="center"/>
              <w:rPr>
                <w:rFonts w:hint="eastAsia" w:ascii="仿宋_GB2312" w:eastAsia="仿宋_GB2312" w:cs="黑体"/>
                <w:color w:val="auto"/>
                <w:sz w:val="30"/>
                <w:szCs w:val="30"/>
              </w:rPr>
            </w:pPr>
            <w:r>
              <w:rPr>
                <w:rFonts w:hint="eastAsia" w:ascii="仿宋_GB2312" w:eastAsia="仿宋_GB2312" w:cs="黑体"/>
                <w:color w:val="auto"/>
                <w:sz w:val="30"/>
                <w:szCs w:val="30"/>
              </w:rPr>
              <w:t>序号</w:t>
            </w:r>
          </w:p>
        </w:tc>
        <w:tc>
          <w:tcPr>
            <w:tcW w:w="5760" w:type="dxa"/>
            <w:vAlign w:val="center"/>
          </w:tcPr>
          <w:p>
            <w:pPr>
              <w:jc w:val="center"/>
              <w:rPr>
                <w:rFonts w:hint="eastAsia" w:ascii="仿宋_GB2312" w:eastAsia="仿宋_GB2312" w:cs="黑体"/>
                <w:color w:val="auto"/>
                <w:sz w:val="30"/>
                <w:szCs w:val="30"/>
              </w:rPr>
            </w:pPr>
            <w:r>
              <w:rPr>
                <w:rFonts w:hint="eastAsia" w:ascii="仿宋_GB2312" w:eastAsia="仿宋_GB2312" w:cs="黑体"/>
                <w:color w:val="auto"/>
                <w:sz w:val="30"/>
                <w:szCs w:val="30"/>
              </w:rPr>
              <w:t>单位名称</w:t>
            </w:r>
          </w:p>
        </w:tc>
        <w:tc>
          <w:tcPr>
            <w:tcW w:w="1800" w:type="dxa"/>
            <w:vAlign w:val="center"/>
          </w:tcPr>
          <w:p>
            <w:pPr>
              <w:jc w:val="center"/>
              <w:rPr>
                <w:rFonts w:hint="eastAsia" w:ascii="仿宋_GB2312" w:eastAsia="仿宋_GB2312" w:cs="黑体"/>
                <w:color w:val="auto"/>
                <w:sz w:val="30"/>
                <w:szCs w:val="30"/>
              </w:rPr>
            </w:pPr>
            <w:r>
              <w:rPr>
                <w:rFonts w:hint="eastAsia" w:ascii="仿宋_GB2312" w:eastAsia="仿宋_GB2312" w:cs="黑体"/>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1</w:t>
            </w:r>
          </w:p>
        </w:tc>
        <w:tc>
          <w:tcPr>
            <w:tcW w:w="5760" w:type="dxa"/>
            <w:vAlign w:val="center"/>
          </w:tcPr>
          <w:p>
            <w:pPr>
              <w:rPr>
                <w:rFonts w:ascii="仿宋_GB2312" w:hAnsi="宋体" w:eastAsia="仿宋_GB2312" w:cs="黑体"/>
                <w:color w:val="auto"/>
                <w:sz w:val="30"/>
                <w:szCs w:val="30"/>
              </w:rPr>
            </w:pPr>
            <w:r>
              <w:rPr>
                <w:rFonts w:hint="eastAsia" w:ascii="仿宋_GB2312" w:hAnsi="宋体" w:eastAsia="仿宋_GB2312" w:cs="黑体"/>
                <w:color w:val="auto"/>
                <w:sz w:val="30"/>
                <w:szCs w:val="30"/>
              </w:rPr>
              <w:t>庄河市人民政府荷花山镇人民政府（本级）</w:t>
            </w: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2</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3</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4</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5</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6</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7</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Align w:val="center"/>
          </w:tcPr>
          <w:p>
            <w:pPr>
              <w:jc w:val="center"/>
              <w:rPr>
                <w:rFonts w:hint="eastAsia" w:ascii="仿宋_GB2312" w:eastAsia="仿宋_GB2312" w:cs="黑体"/>
                <w:color w:val="auto"/>
                <w:sz w:val="30"/>
                <w:szCs w:val="30"/>
              </w:rPr>
            </w:pPr>
            <w:r>
              <w:rPr>
                <w:rFonts w:ascii="仿宋_GB2312" w:eastAsia="仿宋_GB2312" w:cs="黑体"/>
                <w:color w:val="auto"/>
                <w:sz w:val="30"/>
                <w:szCs w:val="30"/>
              </w:rPr>
              <w:t>8</w:t>
            </w:r>
          </w:p>
        </w:tc>
        <w:tc>
          <w:tcPr>
            <w:tcW w:w="5760" w:type="dxa"/>
            <w:vAlign w:val="center"/>
          </w:tcPr>
          <w:p>
            <w:pPr>
              <w:rPr>
                <w:rFonts w:hint="eastAsia" w:ascii="仿宋_GB2312" w:eastAsia="仿宋_GB2312" w:cs="黑体"/>
                <w:color w:val="auto"/>
                <w:sz w:val="30"/>
                <w:szCs w:val="30"/>
              </w:rPr>
            </w:pPr>
          </w:p>
        </w:tc>
        <w:tc>
          <w:tcPr>
            <w:tcW w:w="1800" w:type="dxa"/>
            <w:vAlign w:val="center"/>
          </w:tcPr>
          <w:p>
            <w:pPr>
              <w:rPr>
                <w:rFonts w:hint="eastAsia" w:ascii="仿宋_GB2312" w:eastAsia="仿宋_GB2312" w:cs="黑体"/>
                <w:color w:val="auto"/>
                <w:sz w:val="30"/>
                <w:szCs w:val="30"/>
              </w:rPr>
            </w:pPr>
          </w:p>
        </w:tc>
      </w:tr>
    </w:tbl>
    <w:p>
      <w:pPr>
        <w:jc w:val="center"/>
        <w:rPr>
          <w:rFonts w:hint="eastAsia" w:ascii="黑体" w:eastAsia="黑体" w:cs="黑体"/>
          <w:color w:val="auto"/>
          <w:sz w:val="30"/>
          <w:szCs w:val="30"/>
        </w:rPr>
      </w:pPr>
      <w:r>
        <w:rPr>
          <w:rFonts w:ascii="黑体" w:eastAsia="黑体" w:cs="黑体"/>
          <w:b/>
          <w:color w:val="auto"/>
          <w:sz w:val="32"/>
        </w:rPr>
        <w:br w:type="page"/>
      </w:r>
      <w:r>
        <w:rPr>
          <w:rFonts w:hint="eastAsia" w:ascii="黑体" w:eastAsia="黑体" w:cs="黑体"/>
          <w:color w:val="auto"/>
          <w:sz w:val="30"/>
          <w:szCs w:val="30"/>
        </w:rPr>
        <w:t>第二部分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w:t>
      </w:r>
    </w:p>
    <w:p>
      <w:pPr>
        <w:jc w:val="center"/>
        <w:rPr>
          <w:rFonts w:hint="eastAsia" w:ascii="黑体" w:eastAsia="黑体" w:cs="黑体"/>
          <w:color w:val="auto"/>
          <w:sz w:val="30"/>
          <w:szCs w:val="30"/>
        </w:rPr>
      </w:pPr>
      <w:r>
        <w:rPr>
          <w:rFonts w:hint="eastAsia" w:ascii="黑体" w:eastAsia="黑体" w:cs="黑体"/>
          <w:color w:val="auto"/>
          <w:sz w:val="30"/>
          <w:szCs w:val="30"/>
          <w:lang w:eastAsia="zh-CN"/>
        </w:rPr>
        <w:t>2020</w:t>
      </w:r>
      <w:r>
        <w:rPr>
          <w:rFonts w:hint="eastAsia" w:ascii="黑体" w:eastAsia="黑体" w:cs="黑体"/>
          <w:color w:val="auto"/>
          <w:sz w:val="30"/>
          <w:szCs w:val="30"/>
        </w:rPr>
        <w:t>年度部门决算表</w:t>
      </w:r>
    </w:p>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年度收入支出决算总表</w:t>
      </w:r>
    </w:p>
    <w:p>
      <w:pPr>
        <w:autoSpaceDE w:val="0"/>
        <w:autoSpaceDN w:val="0"/>
        <w:adjustRightInd w:val="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01</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W w:w="8235" w:type="dxa"/>
        <w:tblInd w:w="0" w:type="dxa"/>
        <w:tblLayout w:type="fixed"/>
        <w:tblCellMar>
          <w:top w:w="15" w:type="dxa"/>
          <w:left w:w="15" w:type="dxa"/>
          <w:bottom w:w="15" w:type="dxa"/>
          <w:right w:w="15" w:type="dxa"/>
        </w:tblCellMar>
      </w:tblPr>
      <w:tblGrid>
        <w:gridCol w:w="2836"/>
        <w:gridCol w:w="495"/>
        <w:gridCol w:w="795"/>
        <w:gridCol w:w="2836"/>
        <w:gridCol w:w="495"/>
        <w:gridCol w:w="778"/>
      </w:tblGrid>
      <w:tr>
        <w:tblPrEx>
          <w:tblCellMar>
            <w:top w:w="15" w:type="dxa"/>
            <w:left w:w="15" w:type="dxa"/>
            <w:bottom w:w="15" w:type="dxa"/>
            <w:right w:w="15" w:type="dxa"/>
          </w:tblCellMar>
        </w:tblPrEx>
        <w:trPr>
          <w:trHeight w:val="90"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收入</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支出</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项目</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行次</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决算数</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项目(按功能分类)</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行次</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决算数</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栏次</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栏次</w:t>
            </w:r>
          </w:p>
        </w:tc>
        <w:tc>
          <w:tcPr>
            <w:tcW w:w="4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6</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一、一般公共预算财政拨款收入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一、一般公共服务支出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1281.07</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二、政府性基金预算财政拨款收入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eastAsia="宋体" w:cs="宋体"/>
                <w:color w:val="auto"/>
                <w:sz w:val="16"/>
                <w:szCs w:val="16"/>
                <w:lang w:val="en-US" w:eastAsia="zh-CN"/>
              </w:rPr>
            </w:pPr>
            <w:r>
              <w:rPr>
                <w:rFonts w:hint="eastAsia" w:ascii="宋体" w:hAnsi="宋体" w:cs="宋体"/>
                <w:color w:val="auto"/>
                <w:sz w:val="16"/>
                <w:szCs w:val="16"/>
                <w:lang w:val="en-US" w:eastAsia="zh-CN"/>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二、外交支出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三、上级补助收入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三、国防支出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四、事业收入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四、公共安全支出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五、经营收入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五、教育支出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35</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8.73</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六、附属单位上缴收入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6</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六、科学技术支出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七、其他收入</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7</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七、文化旅游体育与传媒支出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37</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eastAsia="宋体" w:cs="宋体"/>
                <w:color w:val="auto"/>
                <w:sz w:val="16"/>
                <w:szCs w:val="16"/>
                <w:lang w:eastAsia="zh-CN"/>
              </w:rPr>
            </w:pPr>
            <w:r>
              <w:rPr>
                <w:rFonts w:hint="eastAsia" w:ascii="宋体" w:hAnsi="宋体" w:cs="宋体"/>
                <w:color w:val="auto"/>
                <w:kern w:val="0"/>
                <w:sz w:val="16"/>
                <w:szCs w:val="16"/>
                <w:lang w:val="en-US" w:eastAsia="zh-CN"/>
              </w:rPr>
              <w:t>5</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8</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八、社会保障和就业支出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38</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375.29</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9</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九、卫生健康支出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39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44.64</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10</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十、节能环保支出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40</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11</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十一、城乡社区支出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170.99</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12</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十二、农林水支出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sz w:val="16"/>
                <w:szCs w:val="16"/>
                <w:lang w:val="en-US" w:eastAsia="zh-CN"/>
              </w:rPr>
              <w:t>245.53</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13</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十三、交通运输支出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18.61</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14</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十四、资源勘探信息等支出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866.22</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15</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十五、商业服务业等支出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45</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16</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十六、金融支出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17</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十七、援助其他地区支出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47</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18</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十八、自然资源海洋气象等支出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48</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19</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十九、住房保障支出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49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101.75</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二十、粮油物资储备支出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50</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二十一、灾害防治及应急管理支出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51</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151.75</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二十二、其他支出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52</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eastAsia" w:ascii="宋体" w:hAnsi="宋体" w:eastAsia="宋体" w:cs="宋体"/>
                <w:color w:val="auto"/>
                <w:sz w:val="16"/>
                <w:szCs w:val="16"/>
                <w:lang w:val="en-US" w:eastAsia="zh-CN"/>
              </w:rPr>
            </w:pPr>
            <w:r>
              <w:rPr>
                <w:rFonts w:hint="eastAsia" w:ascii="宋体" w:hAnsi="宋体" w:cs="宋体"/>
                <w:color w:val="auto"/>
                <w:sz w:val="16"/>
                <w:szCs w:val="16"/>
                <w:lang w:val="en-US" w:eastAsia="zh-CN"/>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23</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二十三、债务还本支出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53</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24</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二十四、债务付息支出</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54</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25</w:t>
            </w:r>
          </w:p>
        </w:tc>
        <w:tc>
          <w:tcPr>
            <w:tcW w:w="795"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2836"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55</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本年收入合计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26</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本年支出合计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56</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用事业基金弥补收支差额</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27</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结余分配</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57</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年初结转和结余</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28</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0</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年末结转和结余</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58</w:t>
            </w:r>
          </w:p>
        </w:tc>
        <w:tc>
          <w:tcPr>
            <w:tcW w:w="778"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总计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29</w:t>
            </w:r>
          </w:p>
        </w:tc>
        <w:tc>
          <w:tcPr>
            <w:tcW w:w="7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c>
          <w:tcPr>
            <w:tcW w:w="2836"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总计</w:t>
            </w:r>
          </w:p>
        </w:tc>
        <w:tc>
          <w:tcPr>
            <w:tcW w:w="495"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59</w:t>
            </w:r>
          </w:p>
        </w:tc>
        <w:tc>
          <w:tcPr>
            <w:tcW w:w="77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r>
    </w:tbl>
    <w:p>
      <w:pPr>
        <w:autoSpaceDE w:val="0"/>
        <w:autoSpaceDN w:val="0"/>
        <w:adjustRightInd w:val="0"/>
        <w:jc w:val="left"/>
        <w:rPr>
          <w:rFonts w:ascii="黑体" w:hAnsi="黑体" w:eastAsia="黑体" w:cs="黑体"/>
          <w:color w:val="auto"/>
          <w:szCs w:val="21"/>
        </w:rPr>
      </w:pPr>
    </w:p>
    <w:p>
      <w:pPr>
        <w:autoSpaceDE w:val="0"/>
        <w:autoSpaceDN w:val="0"/>
        <w:adjustRightInd w:val="0"/>
        <w:rPr>
          <w:rFonts w:hint="eastAsia" w:ascii="宋体" w:cs="黑体"/>
          <w:color w:val="auto"/>
          <w:szCs w:val="21"/>
        </w:rPr>
        <w:sectPr>
          <w:footerReference r:id="rId9" w:type="default"/>
          <w:pgSz w:w="11906" w:h="16838"/>
          <w:pgMar w:top="1440" w:right="1797" w:bottom="1440" w:left="1797" w:header="851" w:footer="992" w:gutter="0"/>
          <w:pgNumType w:fmt="numberInDash" w:start="1"/>
          <w:cols w:space="425" w:num="1"/>
          <w:docGrid w:type="lines" w:linePitch="312" w:charSpace="0"/>
        </w:sectPr>
      </w:pPr>
    </w:p>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年度收入决算表</w:t>
      </w: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02</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W w:w="12600" w:type="dxa"/>
        <w:tblInd w:w="0" w:type="dxa"/>
        <w:tblLayout w:type="fixed"/>
        <w:tblCellMar>
          <w:top w:w="15" w:type="dxa"/>
          <w:left w:w="15" w:type="dxa"/>
          <w:bottom w:w="15" w:type="dxa"/>
          <w:right w:w="15" w:type="dxa"/>
        </w:tblCellMar>
      </w:tblPr>
      <w:tblGrid>
        <w:gridCol w:w="330"/>
        <w:gridCol w:w="960"/>
        <w:gridCol w:w="960"/>
        <w:gridCol w:w="3226"/>
        <w:gridCol w:w="1065"/>
        <w:gridCol w:w="960"/>
        <w:gridCol w:w="1275"/>
        <w:gridCol w:w="735"/>
        <w:gridCol w:w="960"/>
        <w:gridCol w:w="1396"/>
        <w:gridCol w:w="733"/>
      </w:tblGrid>
      <w:tr>
        <w:tblPrEx>
          <w:tblCellMar>
            <w:top w:w="15" w:type="dxa"/>
            <w:left w:w="15" w:type="dxa"/>
            <w:bottom w:w="15" w:type="dxa"/>
            <w:right w:w="15" w:type="dxa"/>
          </w:tblCellMar>
        </w:tblPrEx>
        <w:trPr>
          <w:trHeight w:val="301" w:hRule="atLeast"/>
        </w:trPr>
        <w:tc>
          <w:tcPr>
            <w:tcW w:w="547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项目</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财政拨款收入</w:t>
            </w:r>
          </w:p>
        </w:tc>
        <w:tc>
          <w:tcPr>
            <w:tcW w:w="127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上级补助收入</w:t>
            </w:r>
          </w:p>
        </w:tc>
        <w:tc>
          <w:tcPr>
            <w:tcW w:w="73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经营收入</w:t>
            </w:r>
          </w:p>
        </w:tc>
        <w:tc>
          <w:tcPr>
            <w:tcW w:w="1396"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附属单位上缴收入</w:t>
            </w:r>
          </w:p>
        </w:tc>
        <w:tc>
          <w:tcPr>
            <w:tcW w:w="733" w:type="dxa"/>
            <w:vMerge w:val="restart"/>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其他收入</w:t>
            </w:r>
          </w:p>
        </w:tc>
      </w:tr>
      <w:tr>
        <w:tblPrEx>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支出功能分类科目编码</w:t>
            </w:r>
          </w:p>
        </w:tc>
        <w:tc>
          <w:tcPr>
            <w:tcW w:w="322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科目名称</w:t>
            </w: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27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396"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3"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w:t>
            </w: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栏次</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1</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2</w:t>
            </w:r>
          </w:p>
        </w:tc>
        <w:tc>
          <w:tcPr>
            <w:tcW w:w="127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3</w:t>
            </w:r>
          </w:p>
        </w:tc>
        <w:tc>
          <w:tcPr>
            <w:tcW w:w="73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4</w:t>
            </w:r>
          </w:p>
        </w:tc>
        <w:tc>
          <w:tcPr>
            <w:tcW w:w="96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6</w:t>
            </w:r>
          </w:p>
        </w:tc>
        <w:tc>
          <w:tcPr>
            <w:tcW w:w="139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7</w:t>
            </w:r>
          </w:p>
        </w:tc>
        <w:tc>
          <w:tcPr>
            <w:tcW w:w="733"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8</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合计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3269.58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一般公共服务支出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1,281.07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1,281.07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政府办公厅（室）及相关机构事务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1,278.75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1,278.75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522.92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522.92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一般行政管理事务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20131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党委办公厅（室）及相关机构事务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2013101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文化旅游体育与传媒支出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文化和旅游</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图书馆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社会保障和就业支出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375.29</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375.29</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行政事业单位养老支出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352.34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352.34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0.96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0.96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机关事业单位基本养老保险缴费支出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132.14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132.14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机关事业单位职业年金缴费支出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50.20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50.20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对机关事业单位基本养老保险基金的补助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167.33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167.33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抚恤</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其他优抚支出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退役安置</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退役士兵安置</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44.64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44.64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公共卫生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27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r>
              <w:rPr>
                <w:rFonts w:ascii="宋体" w:hAnsi="宋体" w:cs="宋体"/>
                <w:color w:val="auto"/>
                <w:sz w:val="22"/>
              </w:rPr>
              <w:t>0.00</w:t>
            </w:r>
          </w:p>
        </w:tc>
        <w:tc>
          <w:tcPr>
            <w:tcW w:w="73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r>
              <w:rPr>
                <w:rFonts w:ascii="宋体" w:hAnsi="宋体" w:cs="宋体"/>
                <w:color w:val="auto"/>
                <w:sz w:val="22"/>
              </w:rPr>
              <w:t>0.00</w:t>
            </w:r>
          </w:p>
        </w:tc>
        <w:tc>
          <w:tcPr>
            <w:tcW w:w="96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r>
              <w:rPr>
                <w:rFonts w:ascii="宋体" w:hAnsi="宋体" w:cs="宋体"/>
                <w:color w:val="auto"/>
                <w:sz w:val="22"/>
              </w:rPr>
              <w:t>0.00</w:t>
            </w:r>
          </w:p>
        </w:tc>
        <w:tc>
          <w:tcPr>
            <w:tcW w:w="1396"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r>
              <w:rPr>
                <w:rFonts w:ascii="宋体" w:hAnsi="宋体" w:cs="宋体"/>
                <w:color w:val="auto"/>
                <w:sz w:val="22"/>
              </w:rPr>
              <w:t>0.00</w:t>
            </w:r>
          </w:p>
        </w:tc>
        <w:tc>
          <w:tcPr>
            <w:tcW w:w="733" w:type="dxa"/>
            <w:tcBorders>
              <w:bottom w:val="single" w:color="000000" w:sz="4" w:space="0"/>
              <w:right w:val="single" w:color="000000" w:sz="12" w:space="0"/>
            </w:tcBorders>
            <w:shd w:val="clear" w:color="auto" w:fill="auto"/>
            <w:vAlign w:val="center"/>
          </w:tcPr>
          <w:p>
            <w:pPr>
              <w:jc w:val="right"/>
              <w:rPr>
                <w:rFonts w:ascii="宋体" w:hAnsi="宋体" w:cs="宋体"/>
                <w:color w:val="auto"/>
                <w:sz w:val="22"/>
              </w:rPr>
            </w:pPr>
            <w:r>
              <w:rPr>
                <w:rFonts w:ascii="宋体" w:hAnsi="宋体" w:cs="宋体"/>
                <w:color w:val="auto"/>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2100410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突发公共卫生事件应急处理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行政事业单位医疗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38.23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38.23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13.34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13.34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7.12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7.12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公务员医疗补助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17.77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17.77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2109901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170.99</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170.99</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城乡社区公共设施</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73.07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73.07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小城镇基础设施建设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70.43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70.43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其他城乡社区公共设施支出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2.64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2.64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245.53</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245.53</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农业农村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91.26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91.26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61.26</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61.26</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农村合作经济</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30.00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水利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其他水利支出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扶贫</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生产发展</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农村综合改革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2130705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对村民委员会和村党支部的补助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资源勘探工业信息等支出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住房保障支出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住房改革支出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住房公积金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69.11</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69.11</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提租补贴</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32.64</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32.64</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灾害防治及应急管理支出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151.75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151.75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应急管理事务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自然灾害救灾及恢复重建支出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2240799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其他自然灾害救灾及恢复重建支出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27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96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139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c>
          <w:tcPr>
            <w:tcW w:w="733"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0.00</w:t>
            </w:r>
          </w:p>
        </w:tc>
      </w:tr>
    </w:tbl>
    <w:p>
      <w:pPr>
        <w:autoSpaceDE w:val="0"/>
        <w:autoSpaceDN w:val="0"/>
        <w:adjustRightInd w:val="0"/>
        <w:jc w:val="center"/>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年度支出决算表</w:t>
      </w: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03</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W w:w="12194" w:type="dxa"/>
        <w:tblInd w:w="0" w:type="dxa"/>
        <w:tblLayout w:type="fixed"/>
        <w:tblCellMar>
          <w:top w:w="15" w:type="dxa"/>
          <w:left w:w="15" w:type="dxa"/>
          <w:bottom w:w="15" w:type="dxa"/>
          <w:right w:w="15" w:type="dxa"/>
        </w:tblCellMar>
      </w:tblPr>
      <w:tblGrid>
        <w:gridCol w:w="330"/>
        <w:gridCol w:w="960"/>
        <w:gridCol w:w="960"/>
        <w:gridCol w:w="3226"/>
        <w:gridCol w:w="1065"/>
        <w:gridCol w:w="1411"/>
        <w:gridCol w:w="885"/>
        <w:gridCol w:w="1065"/>
        <w:gridCol w:w="735"/>
        <w:gridCol w:w="1557"/>
      </w:tblGrid>
      <w:tr>
        <w:tblPrEx>
          <w:tblCellMar>
            <w:top w:w="15" w:type="dxa"/>
            <w:left w:w="15" w:type="dxa"/>
            <w:bottom w:w="15" w:type="dxa"/>
            <w:right w:w="15" w:type="dxa"/>
          </w:tblCellMar>
        </w:tblPrEx>
        <w:trPr>
          <w:trHeight w:val="301" w:hRule="atLeast"/>
        </w:trPr>
        <w:tc>
          <w:tcPr>
            <w:tcW w:w="547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项目</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本年支出合计</w:t>
            </w:r>
          </w:p>
        </w:tc>
        <w:tc>
          <w:tcPr>
            <w:tcW w:w="1411"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基本支出</w:t>
            </w:r>
          </w:p>
        </w:tc>
        <w:tc>
          <w:tcPr>
            <w:tcW w:w="88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项目支出</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上缴上级支出</w:t>
            </w:r>
          </w:p>
        </w:tc>
        <w:tc>
          <w:tcPr>
            <w:tcW w:w="735"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经营支出</w:t>
            </w:r>
          </w:p>
        </w:tc>
        <w:tc>
          <w:tcPr>
            <w:tcW w:w="1557" w:type="dxa"/>
            <w:vMerge w:val="restart"/>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对附属单位补助支出</w:t>
            </w:r>
          </w:p>
        </w:tc>
      </w:tr>
      <w:tr>
        <w:tblPrEx>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支出功能分类科目编码</w:t>
            </w:r>
          </w:p>
        </w:tc>
        <w:tc>
          <w:tcPr>
            <w:tcW w:w="322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科目名称</w:t>
            </w: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735"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557" w:type="dxa"/>
            <w:vMerge w:val="continue"/>
            <w:tcBorders>
              <w:top w:val="single" w:color="000000" w:sz="4" w:space="0"/>
              <w:bottom w:val="single" w:color="000000" w:sz="4" w:space="0"/>
              <w:right w:val="single" w:color="000000" w:sz="12"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w:t>
            </w: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栏次</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1</w:t>
            </w:r>
          </w:p>
        </w:tc>
        <w:tc>
          <w:tcPr>
            <w:tcW w:w="141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2</w:t>
            </w:r>
          </w:p>
        </w:tc>
        <w:tc>
          <w:tcPr>
            <w:tcW w:w="88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3</w:t>
            </w:r>
          </w:p>
        </w:tc>
        <w:tc>
          <w:tcPr>
            <w:tcW w:w="106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4</w:t>
            </w:r>
          </w:p>
        </w:tc>
        <w:tc>
          <w:tcPr>
            <w:tcW w:w="73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5</w:t>
            </w:r>
          </w:p>
        </w:tc>
        <w:tc>
          <w:tcPr>
            <w:tcW w:w="1557"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6</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合计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3269.58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939.42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6"/>
                <w:szCs w:val="16"/>
                <w:lang w:val="en-US" w:eastAsia="zh-CN"/>
              </w:rPr>
            </w:pPr>
            <w:r>
              <w:rPr>
                <w:rFonts w:hint="eastAsia" w:ascii="宋体" w:hAnsi="宋体" w:cs="宋体"/>
                <w:color w:val="auto"/>
                <w:kern w:val="0"/>
                <w:sz w:val="16"/>
                <w:szCs w:val="16"/>
                <w:lang w:val="en-US" w:eastAsia="zh-CN"/>
              </w:rPr>
              <w:t>2330.16</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一般公共服务支出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1,281.07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525.24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政府办公厅（室）及相关机构事务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1,278.75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522.92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522.92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522.92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2010302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一般行政管理事务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755.83</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20131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党委办公厅（室）及相关机构事务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2013101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3.73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3.73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2059999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其他教育支出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8.73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3.73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文化旅游体育与传媒支出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文化和旅游</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2070104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图书馆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社会保障和就业支出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207.96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203.51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行政事业单位养老支出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0.96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0.96</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事业单位离退休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机关事业单位基本养老保险缴费支出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132.14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132.14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2080506</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机关事业单位职业年金缴费支出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50.20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50.20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2080507</w:t>
            </w:r>
          </w:p>
        </w:tc>
        <w:tc>
          <w:tcPr>
            <w:tcW w:w="3226" w:type="dxa"/>
            <w:tcBorders>
              <w:bottom w:val="single" w:color="000000" w:sz="4" w:space="0"/>
              <w:right w:val="single" w:color="000000" w:sz="4" w:space="0"/>
            </w:tcBorders>
            <w:shd w:val="clear" w:color="auto" w:fill="auto"/>
            <w:vAlign w:val="center"/>
          </w:tcPr>
          <w:p>
            <w:pPr>
              <w:widowControl/>
              <w:ind w:firstLine="160" w:firstLineChars="100"/>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对机关事业单位基本养老保险基金的补助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167.33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167.33</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rPr>
            </w:pP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rPr>
            </w:pP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hint="eastAsia" w:ascii="宋体" w:hAnsi="宋体" w:cs="宋体"/>
                <w:color w:val="auto"/>
                <w:kern w:val="0"/>
                <w:sz w:val="16"/>
                <w:szCs w:val="16"/>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抚恤</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其他优抚支出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18.50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退役安置</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2080901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退役士兵安置</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44.64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38.23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6.41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公共卫生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2100410</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突发公共卫生事件应急处理</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6.20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行政事业单位医疗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38.23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38.23</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行政单位医疗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13.34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13.34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事业单位医疗</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7.12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7.12</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2101103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公务员医疗补助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17.77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17.77</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2109901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其他卫生健康支出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0.21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170.99</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170.99</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城乡社区公共设施</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73.07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73.07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小城镇基础设施建设</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70.43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70.43</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其他城乡社区公共设施支出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2.64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2.64</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2120501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城乡社区环境卫生</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97.92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156.13</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66.96</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89.17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农业农村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91.26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61.26</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2130104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事业运行</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61.26</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61.26</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2130124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农村合作经济</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30.00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21303</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水利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其他水利支出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2.08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扶贫</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2130505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生产发展</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23.78</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农村综合改革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5.70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120.84</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2130705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对村民委员会和村党支部的补助</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126.54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5.70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120.84</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2139999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其他农林水支出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1.87</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2149999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其他交通运输支出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18.61</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资源勘探工业信息等支出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21508</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2150899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其他支持中小企业发展和管理支出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866.22</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住房保障支出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住房改革支出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101.75</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住房公积金</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69.11</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69.11</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2210202</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提租补贴</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32.64</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32.64</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灾害防治及应急管理支出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151.75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151.75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22401</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应急管理事务</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2240199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其他应急管理支出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1.75</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22407</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自然灾害救灾及恢复重建支出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2240799</w:t>
            </w:r>
          </w:p>
        </w:tc>
        <w:tc>
          <w:tcPr>
            <w:tcW w:w="3226" w:type="dxa"/>
            <w:tcBorders>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16"/>
                <w:szCs w:val="16"/>
              </w:rPr>
            </w:pPr>
            <w:r>
              <w:rPr>
                <w:rFonts w:hint="eastAsia" w:ascii="宋体" w:hAnsi="宋体" w:cs="宋体"/>
                <w:color w:val="auto"/>
                <w:kern w:val="0"/>
                <w:sz w:val="16"/>
                <w:szCs w:val="16"/>
              </w:rPr>
              <w:t xml:space="preserve">  其他自然灾害救灾及恢复重建支出</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411"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0.00</w:t>
            </w:r>
          </w:p>
        </w:tc>
        <w:tc>
          <w:tcPr>
            <w:tcW w:w="885"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150.00</w:t>
            </w:r>
          </w:p>
        </w:tc>
        <w:tc>
          <w:tcPr>
            <w:tcW w:w="106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73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c>
          <w:tcPr>
            <w:tcW w:w="1557"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rPr>
              <w:t>0.00</w:t>
            </w:r>
          </w:p>
        </w:tc>
      </w:tr>
    </w:tbl>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年度财政拨款收入支出决算总表</w:t>
      </w: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04</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pPr w:leftFromText="180" w:rightFromText="180" w:vertAnchor="text" w:horzAnchor="page" w:tblpX="3144" w:tblpY="582"/>
        <w:tblOverlap w:val="never"/>
        <w:tblW w:w="10585" w:type="dxa"/>
        <w:tblInd w:w="0" w:type="dxa"/>
        <w:tblLayout w:type="fixed"/>
        <w:tblCellMar>
          <w:top w:w="15" w:type="dxa"/>
          <w:left w:w="15" w:type="dxa"/>
          <w:bottom w:w="15" w:type="dxa"/>
          <w:right w:w="15" w:type="dxa"/>
        </w:tblCellMar>
      </w:tblPr>
      <w:tblGrid>
        <w:gridCol w:w="1981"/>
        <w:gridCol w:w="489"/>
        <w:gridCol w:w="1673"/>
        <w:gridCol w:w="2568"/>
        <w:gridCol w:w="489"/>
        <w:gridCol w:w="884"/>
        <w:gridCol w:w="839"/>
        <w:gridCol w:w="1662"/>
      </w:tblGrid>
      <w:tr>
        <w:tblPrEx>
          <w:tblCellMar>
            <w:top w:w="15" w:type="dxa"/>
            <w:left w:w="15" w:type="dxa"/>
            <w:bottom w:w="15" w:type="dxa"/>
            <w:right w:w="15" w:type="dxa"/>
          </w:tblCellMar>
        </w:tblPrEx>
        <w:trPr>
          <w:trHeight w:val="301" w:hRule="atLeast"/>
        </w:trPr>
        <w:tc>
          <w:tcPr>
            <w:tcW w:w="4143"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收入</w:t>
            </w:r>
          </w:p>
        </w:tc>
        <w:tc>
          <w:tcPr>
            <w:tcW w:w="6442" w:type="dxa"/>
            <w:gridSpan w:val="5"/>
            <w:tcBorders>
              <w:top w:val="single" w:color="000000" w:sz="4" w:space="0"/>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支     出</w:t>
            </w:r>
          </w:p>
        </w:tc>
      </w:tr>
      <w:tr>
        <w:tblPrEx>
          <w:tblCellMar>
            <w:top w:w="15" w:type="dxa"/>
            <w:left w:w="15" w:type="dxa"/>
            <w:bottom w:w="15" w:type="dxa"/>
            <w:right w:w="15" w:type="dxa"/>
          </w:tblCellMar>
        </w:tblPrEx>
        <w:trPr>
          <w:trHeight w:val="286" w:hRule="atLeast"/>
        </w:trPr>
        <w:tc>
          <w:tcPr>
            <w:tcW w:w="1981"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    目</w:t>
            </w:r>
          </w:p>
        </w:tc>
        <w:tc>
          <w:tcPr>
            <w:tcW w:w="48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行次</w:t>
            </w:r>
          </w:p>
        </w:tc>
        <w:tc>
          <w:tcPr>
            <w:tcW w:w="167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决算数</w:t>
            </w:r>
          </w:p>
        </w:tc>
        <w:tc>
          <w:tcPr>
            <w:tcW w:w="2568"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项目（按功能分类）</w:t>
            </w:r>
          </w:p>
        </w:tc>
        <w:tc>
          <w:tcPr>
            <w:tcW w:w="48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行次</w:t>
            </w:r>
          </w:p>
        </w:tc>
        <w:tc>
          <w:tcPr>
            <w:tcW w:w="3385" w:type="dxa"/>
            <w:gridSpan w:val="3"/>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决算数</w:t>
            </w:r>
          </w:p>
        </w:tc>
      </w:tr>
      <w:tr>
        <w:tblPrEx>
          <w:tblCellMar>
            <w:top w:w="15" w:type="dxa"/>
            <w:left w:w="15" w:type="dxa"/>
            <w:bottom w:w="15" w:type="dxa"/>
            <w:right w:w="15" w:type="dxa"/>
          </w:tblCellMar>
        </w:tblPrEx>
        <w:trPr>
          <w:trHeight w:val="615" w:hRule="atLeast"/>
        </w:trPr>
        <w:tc>
          <w:tcPr>
            <w:tcW w:w="1981"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8"/>
                <w:szCs w:val="18"/>
              </w:rPr>
            </w:pPr>
          </w:p>
        </w:tc>
        <w:tc>
          <w:tcPr>
            <w:tcW w:w="48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8"/>
                <w:szCs w:val="18"/>
              </w:rPr>
            </w:pPr>
          </w:p>
        </w:tc>
        <w:tc>
          <w:tcPr>
            <w:tcW w:w="1673"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8"/>
                <w:szCs w:val="18"/>
              </w:rPr>
            </w:pPr>
          </w:p>
        </w:tc>
        <w:tc>
          <w:tcPr>
            <w:tcW w:w="2568"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8"/>
                <w:szCs w:val="18"/>
              </w:rPr>
            </w:pPr>
          </w:p>
        </w:tc>
        <w:tc>
          <w:tcPr>
            <w:tcW w:w="48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8"/>
                <w:szCs w:val="18"/>
              </w:rPr>
            </w:pP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小计</w:t>
            </w:r>
          </w:p>
        </w:tc>
        <w:tc>
          <w:tcPr>
            <w:tcW w:w="83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一般公共预算财政拨款</w:t>
            </w:r>
          </w:p>
        </w:tc>
        <w:tc>
          <w:tcPr>
            <w:tcW w:w="1662"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政府性基金预算财政拨款</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    次</w:t>
            </w:r>
          </w:p>
        </w:tc>
        <w:tc>
          <w:tcPr>
            <w:tcW w:w="489" w:type="dxa"/>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673"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256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    次</w:t>
            </w:r>
          </w:p>
        </w:tc>
        <w:tc>
          <w:tcPr>
            <w:tcW w:w="489" w:type="dxa"/>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83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1662" w:type="dxa"/>
            <w:tcBorders>
              <w:bottom w:val="single" w:color="000000" w:sz="4" w:space="0"/>
              <w:right w:val="single" w:color="000000" w:sz="12"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一、一般公共预算财政拨款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3269.58</w:t>
            </w: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一、一般公共服务支出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1,281.07</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1,281.07</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二、政府性基金预算财政拨款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二、外交支出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三、国防支出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四、公共安全支出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五、教育支出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8.73</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8.73</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六、科学技术支出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七、文化旅游体育与传媒支出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5.00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5.00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八、社会保障和就业支出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val="en-US" w:eastAsia="zh-CN"/>
              </w:rPr>
              <w:t>375.29</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375.29</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9</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九、卫生健康支出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44.64</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44.64</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十、节能环保支出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十一、城乡社区支出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170.99</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170.99</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十二、农林水支出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val="en-US" w:eastAsia="zh-CN"/>
              </w:rPr>
              <w:t>245.53</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245.53</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十三、交通运输支出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18.61</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18.61</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十四、资源勘探信息等支出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866.22</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866.22</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十五、商业服务业等支出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16</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十六、金融支出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17</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十七、援助其他地区支出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18</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十八、自然资源海洋气象等支出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48</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19</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十九、住房保障支出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49</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101.75</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101.75</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20</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二十、粮油物资储备支出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21</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二十一、灾害防治及应急管理支出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151.75</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151.75</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22</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二十二、其他支出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val="en-US" w:eastAsia="zh-CN"/>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auto"/>
                <w:sz w:val="18"/>
                <w:szCs w:val="18"/>
                <w:lang w:eastAsia="zh-CN"/>
              </w:rPr>
            </w:pPr>
            <w:r>
              <w:rPr>
                <w:rFonts w:hint="eastAsia" w:ascii="宋体" w:hAnsi="宋体" w:cs="宋体"/>
                <w:color w:val="auto"/>
                <w:kern w:val="0"/>
                <w:sz w:val="18"/>
                <w:szCs w:val="18"/>
                <w:lang w:val="en-US" w:eastAsia="zh-CN"/>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23</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二十三、债务还本支出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24</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二十四、债务付息支出</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b/>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25</w:t>
            </w:r>
          </w:p>
        </w:tc>
        <w:tc>
          <w:tcPr>
            <w:tcW w:w="1673"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2568" w:type="dxa"/>
            <w:tcBorders>
              <w:bottom w:val="single" w:color="000000" w:sz="4" w:space="0"/>
              <w:right w:val="single" w:color="000000" w:sz="4" w:space="0"/>
            </w:tcBorders>
            <w:shd w:val="clear" w:color="FFFFFF" w:fill="C0C0C0"/>
            <w:vAlign w:val="center"/>
          </w:tcPr>
          <w:p>
            <w:pPr>
              <w:jc w:val="center"/>
              <w:rPr>
                <w:rFonts w:ascii="宋体" w:hAnsi="宋体" w:cs="宋体"/>
                <w:b/>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55</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1662" w:type="dxa"/>
            <w:tcBorders>
              <w:bottom w:val="single" w:color="000000" w:sz="4" w:space="0"/>
              <w:right w:val="single" w:color="000000" w:sz="12" w:space="0"/>
            </w:tcBorders>
            <w:shd w:val="clear" w:color="auto" w:fill="auto"/>
            <w:vAlign w:val="center"/>
          </w:tcPr>
          <w:p>
            <w:pPr>
              <w:jc w:val="right"/>
              <w:rPr>
                <w:rFonts w:ascii="宋体" w:hAnsi="宋体" w:cs="宋体"/>
                <w:color w:val="auto"/>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auto"/>
                <w:sz w:val="18"/>
                <w:szCs w:val="18"/>
              </w:rPr>
            </w:pPr>
            <w:r>
              <w:rPr>
                <w:rFonts w:hint="eastAsia" w:ascii="宋体" w:hAnsi="宋体" w:cs="宋体"/>
                <w:b/>
                <w:color w:val="auto"/>
                <w:kern w:val="0"/>
                <w:sz w:val="18"/>
                <w:szCs w:val="18"/>
              </w:rPr>
              <w:t>本年收入合计</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26</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3269.58</w:t>
            </w:r>
          </w:p>
        </w:tc>
        <w:tc>
          <w:tcPr>
            <w:tcW w:w="256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b/>
                <w:color w:val="auto"/>
                <w:sz w:val="18"/>
                <w:szCs w:val="18"/>
              </w:rPr>
            </w:pPr>
            <w:r>
              <w:rPr>
                <w:rFonts w:hint="eastAsia" w:ascii="宋体" w:hAnsi="宋体" w:cs="宋体"/>
                <w:b/>
                <w:color w:val="auto"/>
                <w:kern w:val="0"/>
                <w:sz w:val="18"/>
                <w:szCs w:val="18"/>
              </w:rPr>
              <w:t>本年支出合计</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val="en-US" w:eastAsia="zh-CN"/>
              </w:rPr>
              <w:t>3269.58</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3269.58</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年初财政拨款结转和结余</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27</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2568" w:type="dxa"/>
            <w:tcBorders>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年末财政拨款结转和结余</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839"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1662" w:type="dxa"/>
            <w:tcBorders>
              <w:bottom w:val="single" w:color="000000" w:sz="4" w:space="0"/>
              <w:right w:val="single" w:color="000000" w:sz="12"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一、一般公共预算财政拨款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28</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2568" w:type="dxa"/>
            <w:tcBorders>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82</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1662" w:type="dxa"/>
            <w:tcBorders>
              <w:bottom w:val="single" w:color="000000" w:sz="4" w:space="0"/>
              <w:right w:val="single" w:color="000000" w:sz="12" w:space="0"/>
            </w:tcBorders>
            <w:shd w:val="clear" w:color="auto" w:fill="auto"/>
            <w:vAlign w:val="center"/>
          </w:tcPr>
          <w:p>
            <w:pPr>
              <w:jc w:val="right"/>
              <w:rPr>
                <w:rFonts w:ascii="宋体" w:hAnsi="宋体" w:cs="宋体"/>
                <w:color w:val="auto"/>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二、政府性基金预算财政拨款</w:t>
            </w: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29</w:t>
            </w:r>
          </w:p>
        </w:tc>
        <w:tc>
          <w:tcPr>
            <w:tcW w:w="1673"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rPr>
              <w:t>0.00</w:t>
            </w:r>
          </w:p>
        </w:tc>
        <w:tc>
          <w:tcPr>
            <w:tcW w:w="2568" w:type="dxa"/>
            <w:tcBorders>
              <w:bottom w:val="single" w:color="000000" w:sz="4" w:space="0"/>
              <w:right w:val="single" w:color="000000" w:sz="4" w:space="0"/>
            </w:tcBorders>
            <w:shd w:val="clear" w:color="FFFFFF" w:fill="C0C0C0"/>
            <w:vAlign w:val="center"/>
          </w:tcPr>
          <w:p>
            <w:pPr>
              <w:jc w:val="left"/>
              <w:rPr>
                <w:rFonts w:ascii="宋体" w:hAnsi="宋体" w:cs="宋体"/>
                <w:color w:val="auto"/>
                <w:sz w:val="18"/>
                <w:szCs w:val="18"/>
              </w:rPr>
            </w:pPr>
          </w:p>
        </w:tc>
        <w:tc>
          <w:tcPr>
            <w:tcW w:w="489"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83</w:t>
            </w:r>
          </w:p>
        </w:tc>
        <w:tc>
          <w:tcPr>
            <w:tcW w:w="884"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839" w:type="dxa"/>
            <w:tcBorders>
              <w:bottom w:val="single" w:color="000000" w:sz="4" w:space="0"/>
              <w:right w:val="single" w:color="000000" w:sz="4" w:space="0"/>
            </w:tcBorders>
            <w:shd w:val="clear" w:color="auto" w:fill="auto"/>
            <w:vAlign w:val="center"/>
          </w:tcPr>
          <w:p>
            <w:pPr>
              <w:jc w:val="right"/>
              <w:rPr>
                <w:rFonts w:ascii="宋体" w:hAnsi="宋体" w:cs="宋体"/>
                <w:color w:val="auto"/>
                <w:sz w:val="18"/>
                <w:szCs w:val="18"/>
              </w:rPr>
            </w:pPr>
          </w:p>
        </w:tc>
        <w:tc>
          <w:tcPr>
            <w:tcW w:w="1662" w:type="dxa"/>
            <w:tcBorders>
              <w:right w:val="single" w:color="000000" w:sz="12" w:space="0"/>
            </w:tcBorders>
            <w:shd w:val="clear" w:color="auto" w:fill="auto"/>
            <w:vAlign w:val="center"/>
          </w:tcPr>
          <w:p>
            <w:pPr>
              <w:jc w:val="right"/>
              <w:rPr>
                <w:rFonts w:ascii="宋体" w:hAnsi="宋体" w:cs="宋体"/>
                <w:color w:val="auto"/>
                <w:sz w:val="18"/>
                <w:szCs w:val="18"/>
              </w:rPr>
            </w:pPr>
          </w:p>
        </w:tc>
      </w:tr>
      <w:tr>
        <w:tblPrEx>
          <w:tblCellMar>
            <w:top w:w="15" w:type="dxa"/>
            <w:left w:w="15" w:type="dxa"/>
            <w:bottom w:w="15" w:type="dxa"/>
            <w:right w:w="15" w:type="dxa"/>
          </w:tblCellMar>
        </w:tblPrEx>
        <w:trPr>
          <w:trHeight w:val="301" w:hRule="atLeast"/>
        </w:trPr>
        <w:tc>
          <w:tcPr>
            <w:tcW w:w="1981" w:type="dxa"/>
            <w:tcBorders>
              <w:left w:val="single" w:color="000000" w:sz="4" w:space="0"/>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rPr>
              <w:t>总计</w:t>
            </w:r>
          </w:p>
        </w:tc>
        <w:tc>
          <w:tcPr>
            <w:tcW w:w="489"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30</w:t>
            </w:r>
          </w:p>
        </w:tc>
        <w:tc>
          <w:tcPr>
            <w:tcW w:w="1673" w:type="dxa"/>
            <w:tcBorders>
              <w:bottom w:val="single" w:color="000000" w:sz="12"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3269.58</w:t>
            </w:r>
          </w:p>
        </w:tc>
        <w:tc>
          <w:tcPr>
            <w:tcW w:w="2568"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b/>
                <w:color w:val="auto"/>
                <w:sz w:val="18"/>
                <w:szCs w:val="18"/>
              </w:rPr>
            </w:pPr>
            <w:r>
              <w:rPr>
                <w:rFonts w:hint="eastAsia" w:ascii="宋体" w:hAnsi="宋体" w:cs="宋体"/>
                <w:b/>
                <w:color w:val="auto"/>
                <w:kern w:val="0"/>
                <w:sz w:val="18"/>
                <w:szCs w:val="18"/>
              </w:rPr>
              <w:t>总计</w:t>
            </w:r>
          </w:p>
        </w:tc>
        <w:tc>
          <w:tcPr>
            <w:tcW w:w="489" w:type="dxa"/>
            <w:tcBorders>
              <w:bottom w:val="single" w:color="000000" w:sz="12"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84</w:t>
            </w:r>
          </w:p>
        </w:tc>
        <w:tc>
          <w:tcPr>
            <w:tcW w:w="884" w:type="dxa"/>
            <w:tcBorders>
              <w:bottom w:val="single" w:color="000000" w:sz="12" w:space="0"/>
              <w:right w:val="single" w:color="000000" w:sz="4" w:space="0"/>
            </w:tcBorders>
            <w:shd w:val="clear" w:color="auto" w:fill="auto"/>
            <w:vAlign w:val="center"/>
          </w:tcPr>
          <w:p>
            <w:pPr>
              <w:widowControl/>
              <w:jc w:val="right"/>
              <w:textAlignment w:val="center"/>
              <w:rPr>
                <w:rFonts w:ascii="宋体" w:hAnsi="宋体" w:cs="宋体"/>
                <w:color w:val="auto"/>
                <w:sz w:val="18"/>
                <w:szCs w:val="18"/>
              </w:rPr>
            </w:pPr>
            <w:r>
              <w:rPr>
                <w:rFonts w:hint="eastAsia" w:ascii="宋体" w:hAnsi="宋体" w:cs="宋体"/>
                <w:color w:val="auto"/>
                <w:kern w:val="0"/>
                <w:sz w:val="18"/>
                <w:szCs w:val="18"/>
                <w:lang w:val="en-US" w:eastAsia="zh-CN"/>
              </w:rPr>
              <w:t>3269.58</w:t>
            </w:r>
          </w:p>
        </w:tc>
        <w:tc>
          <w:tcPr>
            <w:tcW w:w="839" w:type="dxa"/>
            <w:tcBorders>
              <w:bottom w:val="single" w:color="000000" w:sz="12"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3269.58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rPr>
              <w:t>0.00</w:t>
            </w:r>
          </w:p>
        </w:tc>
      </w:tr>
    </w:tbl>
    <w:p>
      <w:pPr>
        <w:autoSpaceDE w:val="0"/>
        <w:autoSpaceDN w:val="0"/>
        <w:adjustRightInd w:val="0"/>
        <w:jc w:val="center"/>
        <w:rPr>
          <w:rFonts w:hint="eastAsia" w:ascii="宋体" w:cs="黑体"/>
          <w:color w:val="auto"/>
          <w:szCs w:val="21"/>
        </w:rPr>
      </w:pPr>
    </w:p>
    <w:p>
      <w:pPr>
        <w:autoSpaceDE w:val="0"/>
        <w:autoSpaceDN w:val="0"/>
        <w:adjustRightInd w:val="0"/>
        <w:jc w:val="center"/>
        <w:rPr>
          <w:rFonts w:hint="eastAsia" w:ascii="宋体" w:cs="黑体"/>
          <w:color w:val="auto"/>
          <w:szCs w:val="21"/>
        </w:rPr>
        <w:sectPr>
          <w:pgSz w:w="16838" w:h="11906" w:orient="landscape"/>
          <w:pgMar w:top="1797" w:right="1440" w:bottom="1797" w:left="1440" w:header="851" w:footer="992" w:gutter="0"/>
          <w:pgNumType w:fmt="numberInDash"/>
          <w:cols w:space="425" w:num="1"/>
          <w:docGrid w:linePitch="312" w:charSpace="0"/>
        </w:sectPr>
      </w:pPr>
    </w:p>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年度一般公共预算财政拨款支出决算表</w:t>
      </w:r>
    </w:p>
    <w:p>
      <w:pPr>
        <w:autoSpaceDE w:val="0"/>
        <w:autoSpaceDN w:val="0"/>
        <w:adjustRightInd w:val="0"/>
        <w:ind w:right="360"/>
        <w:jc w:val="left"/>
        <w:rPr>
          <w:rFonts w:ascii="黑体" w:hAnsi="黑体" w:eastAsia="黑体" w:cs="黑体"/>
          <w:color w:val="auto"/>
          <w:szCs w:val="21"/>
        </w:rPr>
      </w:pPr>
    </w:p>
    <w:p>
      <w:pPr>
        <w:autoSpaceDE w:val="0"/>
        <w:autoSpaceDN w:val="0"/>
        <w:adjustRightInd w:val="0"/>
        <w:ind w:right="360"/>
        <w:jc w:val="left"/>
        <w:rPr>
          <w:rFonts w:ascii="黑体" w:hAnsi="黑体" w:eastAsia="黑体" w:cs="黑体"/>
          <w:color w:val="auto"/>
          <w:szCs w:val="21"/>
        </w:rPr>
      </w:pP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05</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pPr w:leftFromText="180" w:rightFromText="180" w:vertAnchor="text" w:horzAnchor="page" w:tblpX="3940" w:tblpY="650"/>
        <w:tblOverlap w:val="never"/>
        <w:tblW w:w="8830" w:type="dxa"/>
        <w:tblInd w:w="0" w:type="dxa"/>
        <w:tblLayout w:type="fixed"/>
        <w:tblCellMar>
          <w:top w:w="15" w:type="dxa"/>
          <w:left w:w="15" w:type="dxa"/>
          <w:bottom w:w="15" w:type="dxa"/>
          <w:right w:w="15" w:type="dxa"/>
        </w:tblCellMar>
      </w:tblPr>
      <w:tblGrid>
        <w:gridCol w:w="329"/>
        <w:gridCol w:w="959"/>
        <w:gridCol w:w="959"/>
        <w:gridCol w:w="3225"/>
        <w:gridCol w:w="1064"/>
        <w:gridCol w:w="1410"/>
        <w:gridCol w:w="884"/>
      </w:tblGrid>
      <w:tr>
        <w:tblPrEx>
          <w:tblCellMar>
            <w:top w:w="15" w:type="dxa"/>
            <w:left w:w="15" w:type="dxa"/>
            <w:bottom w:w="15" w:type="dxa"/>
            <w:right w:w="15" w:type="dxa"/>
          </w:tblCellMar>
        </w:tblPrEx>
        <w:trPr>
          <w:trHeight w:val="301" w:hRule="atLeast"/>
        </w:trPr>
        <w:tc>
          <w:tcPr>
            <w:tcW w:w="5472"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项目</w:t>
            </w:r>
          </w:p>
        </w:tc>
        <w:tc>
          <w:tcPr>
            <w:tcW w:w="106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本年支出合计</w:t>
            </w:r>
          </w:p>
        </w:tc>
        <w:tc>
          <w:tcPr>
            <w:tcW w:w="141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基本支出</w:t>
            </w:r>
          </w:p>
        </w:tc>
        <w:tc>
          <w:tcPr>
            <w:tcW w:w="88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项目支出</w:t>
            </w:r>
          </w:p>
        </w:tc>
      </w:tr>
      <w:tr>
        <w:tblPrEx>
          <w:tblCellMar>
            <w:top w:w="15" w:type="dxa"/>
            <w:left w:w="15" w:type="dxa"/>
            <w:bottom w:w="15" w:type="dxa"/>
            <w:right w:w="15" w:type="dxa"/>
          </w:tblCellMar>
        </w:tblPrEx>
        <w:trPr>
          <w:trHeight w:val="300" w:hRule="atLeast"/>
        </w:trPr>
        <w:tc>
          <w:tcPr>
            <w:tcW w:w="2247"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支出功能分类科目编码</w:t>
            </w:r>
          </w:p>
        </w:tc>
        <w:tc>
          <w:tcPr>
            <w:tcW w:w="3225"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科目名称</w:t>
            </w: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0" w:hRule="atLeast"/>
        </w:trPr>
        <w:tc>
          <w:tcPr>
            <w:tcW w:w="22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06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14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r>
      <w:tr>
        <w:tblPrEx>
          <w:tblCellMar>
            <w:top w:w="15" w:type="dxa"/>
            <w:left w:w="15" w:type="dxa"/>
            <w:bottom w:w="15" w:type="dxa"/>
            <w:right w:w="15" w:type="dxa"/>
          </w:tblCellMar>
        </w:tblPrEx>
        <w:trPr>
          <w:trHeight w:val="301" w:hRule="atLeast"/>
        </w:trPr>
        <w:tc>
          <w:tcPr>
            <w:tcW w:w="329"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类</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款</w:t>
            </w:r>
          </w:p>
        </w:tc>
        <w:tc>
          <w:tcPr>
            <w:tcW w:w="95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项</w:t>
            </w:r>
          </w:p>
        </w:tc>
        <w:tc>
          <w:tcPr>
            <w:tcW w:w="322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栏次</w:t>
            </w:r>
          </w:p>
        </w:tc>
        <w:tc>
          <w:tcPr>
            <w:tcW w:w="106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1</w:t>
            </w:r>
          </w:p>
        </w:tc>
        <w:tc>
          <w:tcPr>
            <w:tcW w:w="141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2</w:t>
            </w:r>
          </w:p>
        </w:tc>
        <w:tc>
          <w:tcPr>
            <w:tcW w:w="884"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3</w:t>
            </w:r>
          </w:p>
        </w:tc>
      </w:tr>
      <w:tr>
        <w:tblPrEx>
          <w:tblCellMar>
            <w:top w:w="15" w:type="dxa"/>
            <w:left w:w="15" w:type="dxa"/>
            <w:bottom w:w="15" w:type="dxa"/>
            <w:right w:w="15" w:type="dxa"/>
          </w:tblCellMar>
        </w:tblPrEx>
        <w:trPr>
          <w:trHeight w:val="301" w:hRule="atLeast"/>
        </w:trPr>
        <w:tc>
          <w:tcPr>
            <w:tcW w:w="329"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959"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16"/>
                <w:szCs w:val="16"/>
              </w:rPr>
            </w:pPr>
          </w:p>
        </w:tc>
        <w:tc>
          <w:tcPr>
            <w:tcW w:w="322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rPr>
              <w:t>合计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3269.58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939.42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2330.16</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一般公共服务支出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1,281.07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525.24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755.83</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政府办公厅（室）及相关机构事务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1,278.75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522.92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755.83</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2010301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行政运行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522.92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522.92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2010302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一般行政管理事务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755.83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755.83</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20131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党委办公厅（室）及相关机构事务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2013101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行政运行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教育支出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8.73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3.73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20599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其他教育支出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8.73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3.73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2059999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其他教育支出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8.73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3.73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文化旅游体育与传媒支出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20701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文化和旅游</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2070104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图书馆</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社会保障和就业支出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8"/>
                <w:szCs w:val="18"/>
                <w:lang w:val="en-US" w:eastAsia="zh-CN"/>
              </w:rPr>
              <w:t>375.29</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203.51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sz w:val="16"/>
                <w:szCs w:val="16"/>
                <w:lang w:val="en-US"/>
              </w:rPr>
            </w:pPr>
            <w:r>
              <w:rPr>
                <w:rFonts w:hint="eastAsia" w:ascii="宋体" w:hAnsi="宋体" w:cs="宋体"/>
                <w:color w:val="auto"/>
                <w:kern w:val="0"/>
                <w:sz w:val="16"/>
                <w:szCs w:val="16"/>
                <w:lang w:val="en-US" w:eastAsia="zh-CN"/>
              </w:rPr>
              <w:t>171.78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行政事业单位养老支出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2080501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行政单位离退休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0.96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0.96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2080502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事业单位离退休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2080505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机关事业单位基本养老保险缴费支出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132.14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132.14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2080506</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机关事业单位职业年金缴费支出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50.20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50.20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2080507</w:t>
            </w:r>
          </w:p>
        </w:tc>
        <w:tc>
          <w:tcPr>
            <w:tcW w:w="3225" w:type="dxa"/>
            <w:tcBorders>
              <w:bottom w:val="single" w:color="000000" w:sz="4" w:space="0"/>
              <w:right w:val="single" w:color="000000" w:sz="4" w:space="0"/>
            </w:tcBorders>
            <w:shd w:val="clear" w:color="auto" w:fill="auto"/>
            <w:vAlign w:val="center"/>
          </w:tcPr>
          <w:p>
            <w:pPr>
              <w:widowControl/>
              <w:ind w:firstLine="160" w:firstLineChars="100"/>
              <w:jc w:val="left"/>
              <w:textAlignment w:val="center"/>
              <w:rPr>
                <w:rFonts w:ascii="宋体" w:hAnsi="宋体" w:cs="宋体"/>
                <w:color w:val="auto"/>
                <w:sz w:val="16"/>
                <w:szCs w:val="16"/>
              </w:rPr>
            </w:pPr>
            <w:r>
              <w:rPr>
                <w:rFonts w:hint="eastAsia" w:ascii="宋体" w:hAnsi="宋体" w:cs="宋体"/>
                <w:color w:val="auto"/>
                <w:kern w:val="0"/>
                <w:sz w:val="16"/>
                <w:szCs w:val="16"/>
              </w:rPr>
              <w:t>对机关事业单位基本养老保险基金的补助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kern w:val="0"/>
                <w:sz w:val="16"/>
                <w:szCs w:val="16"/>
              </w:rPr>
            </w:pPr>
            <w:r>
              <w:rPr>
                <w:rFonts w:hint="eastAsia" w:ascii="宋体" w:hAnsi="宋体" w:cs="宋体"/>
                <w:color w:val="auto"/>
                <w:kern w:val="0"/>
                <w:sz w:val="16"/>
                <w:szCs w:val="16"/>
                <w:lang w:val="en-US" w:eastAsia="zh-CN"/>
              </w:rPr>
              <w:t>167.33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167.33</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抚恤</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2080899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其他优抚支出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18.50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退役安置</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4.45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4.45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2080901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退役士兵安置</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4.45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4.45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卫生健康支出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44.64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38.23</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6.41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公共卫生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6.20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6.20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2100410</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突发公共卫生事件应急处理</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6.20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6.20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21011</w:t>
            </w:r>
          </w:p>
        </w:tc>
        <w:tc>
          <w:tcPr>
            <w:tcW w:w="3225" w:type="dxa"/>
            <w:tcBorders>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行政事业单位医疗</w:t>
            </w:r>
          </w:p>
        </w:tc>
        <w:tc>
          <w:tcPr>
            <w:tcW w:w="1064"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38.23</w:t>
            </w:r>
          </w:p>
        </w:tc>
        <w:tc>
          <w:tcPr>
            <w:tcW w:w="1410"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38.23</w:t>
            </w:r>
          </w:p>
        </w:tc>
        <w:tc>
          <w:tcPr>
            <w:tcW w:w="884" w:type="dxa"/>
            <w:tcBorders>
              <w:bottom w:val="single" w:color="000000" w:sz="4" w:space="0"/>
              <w:right w:val="single" w:color="000000" w:sz="4" w:space="0"/>
            </w:tcBorders>
            <w:shd w:val="clear" w:color="auto" w:fill="FFFFFF" w:themeFill="background1"/>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2101101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行政单位医疗</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13.34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13.34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2101102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事业单位医疗</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7.12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7.12</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2101103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公务员医疗补助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17.77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17.77</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其他卫生健康支出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0.21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0.21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2109901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其他卫生健康支出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0.21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0.21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城乡社区支出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170.99</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170.99</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城乡社区公共设施</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73.07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73.07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2120303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小城镇基础设施建设</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70.43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70.43</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2120399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其他城乡社区公共设施支出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2.64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2.64</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城乡社区环境卫生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97.92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97.92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2120501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城乡社区环境卫生</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97.92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97.92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农林水支出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sz w:val="16"/>
                <w:szCs w:val="16"/>
                <w:lang w:val="en-US"/>
              </w:rPr>
            </w:pPr>
            <w:r>
              <w:rPr>
                <w:rFonts w:hint="eastAsia" w:ascii="宋体" w:hAnsi="宋体" w:cs="宋体"/>
                <w:color w:val="auto"/>
                <w:kern w:val="0"/>
                <w:sz w:val="16"/>
                <w:szCs w:val="16"/>
                <w:lang w:val="en-US" w:eastAsia="zh-CN"/>
              </w:rPr>
              <w:t>245.53</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66.96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auto"/>
                <w:sz w:val="16"/>
                <w:szCs w:val="16"/>
                <w:lang w:val="en-US"/>
              </w:rPr>
            </w:pPr>
            <w:r>
              <w:rPr>
                <w:rFonts w:hint="eastAsia" w:ascii="宋体" w:hAnsi="宋体" w:cs="宋体"/>
                <w:color w:val="auto"/>
                <w:kern w:val="0"/>
                <w:sz w:val="16"/>
                <w:szCs w:val="16"/>
                <w:lang w:val="en-US" w:eastAsia="zh-CN"/>
              </w:rPr>
              <w:t>178.57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农业农村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91.26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61.26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2130104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事业运行</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61.26</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61.26</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2130124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农村合作经济</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30.00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21303</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水利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2130399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其他水利支出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2.08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扶贫</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23.78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23.78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2130505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生产发展</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23.78</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23.78</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农村综合改革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126.54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5.70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120.84</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2130705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对村民委员会和村党支部的补助</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126.54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5.70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120.84</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其他农林水支出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2139999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其他农林水支出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1.87</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1.87</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21499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其他交通运输支出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2149999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其他交通运输支出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18.61</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215</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资源勘探工业信息等支出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21508</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支持中小企业发展和管理支出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2150899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其他支持中小企业发展和管理支出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866.22</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住房保障支出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101.75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101.75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22102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住房改革支出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101.75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101.75</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2210201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住房公积金</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69.11</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69.11</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2210202</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提租补贴</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32.64</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32.64</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224</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灾害防治及应急管理支出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151.75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151.75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22401</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应急管理事务</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2240199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其他应急管理支出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1.75</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1.75</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22407</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自然灾害救灾及恢复重建支出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150.00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150.00</w:t>
            </w: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2240799</w:t>
            </w:r>
          </w:p>
        </w:tc>
        <w:tc>
          <w:tcPr>
            <w:tcW w:w="3225"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6"/>
                <w:szCs w:val="16"/>
              </w:rPr>
            </w:pPr>
            <w:r>
              <w:rPr>
                <w:rFonts w:hint="eastAsia" w:ascii="宋体" w:hAnsi="宋体" w:cs="宋体"/>
                <w:color w:val="auto"/>
                <w:kern w:val="0"/>
                <w:sz w:val="16"/>
                <w:szCs w:val="16"/>
              </w:rPr>
              <w:t xml:space="preserve">  其他自然灾害救灾及恢复重建支出</w:t>
            </w:r>
          </w:p>
        </w:tc>
        <w:tc>
          <w:tcPr>
            <w:tcW w:w="106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150.00</w:t>
            </w:r>
          </w:p>
        </w:tc>
        <w:tc>
          <w:tcPr>
            <w:tcW w:w="14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0.00</w:t>
            </w:r>
          </w:p>
        </w:tc>
        <w:tc>
          <w:tcPr>
            <w:tcW w:w="884"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16"/>
                <w:szCs w:val="16"/>
              </w:rPr>
            </w:pPr>
            <w:r>
              <w:rPr>
                <w:rFonts w:hint="eastAsia" w:ascii="宋体" w:hAnsi="宋体" w:cs="宋体"/>
                <w:color w:val="auto"/>
                <w:kern w:val="0"/>
                <w:sz w:val="16"/>
                <w:szCs w:val="16"/>
                <w:lang w:val="en-US" w:eastAsia="zh-CN"/>
              </w:rPr>
              <w:t>150.00</w:t>
            </w:r>
          </w:p>
        </w:tc>
      </w:tr>
    </w:tbl>
    <w:p>
      <w:pPr>
        <w:autoSpaceDE w:val="0"/>
        <w:autoSpaceDN w:val="0"/>
        <w:adjustRightInd w:val="0"/>
        <w:ind w:firstLine="2625" w:firstLineChars="1250"/>
        <w:jc w:val="left"/>
        <w:rPr>
          <w:rFonts w:ascii="方正小标宋简体" w:hAnsi="宋体" w:eastAsia="方正小标宋简体" w:cs="黑体"/>
          <w:color w:val="auto"/>
          <w:sz w:val="32"/>
          <w:szCs w:val="32"/>
        </w:rPr>
      </w:pPr>
      <w:r>
        <w:rPr>
          <w:rFonts w:ascii="宋体" w:cs="黑体"/>
          <w:color w:val="auto"/>
          <w:szCs w:val="21"/>
        </w:rPr>
        <w:br w:type="page"/>
      </w: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年度一般公共预算财政拨款基本支出决算表</w:t>
      </w:r>
    </w:p>
    <w:p>
      <w:pPr>
        <w:autoSpaceDE w:val="0"/>
        <w:autoSpaceDN w:val="0"/>
        <w:adjustRightInd w:val="0"/>
        <w:jc w:val="left"/>
        <w:rPr>
          <w:rFonts w:ascii="方正小标宋简体" w:hAnsi="宋体" w:eastAsia="方正小标宋简体" w:cs="黑体"/>
          <w:color w:val="auto"/>
          <w:sz w:val="32"/>
          <w:szCs w:val="32"/>
        </w:rPr>
      </w:pPr>
      <w:r>
        <w:rPr>
          <w:rFonts w:hint="eastAsia" w:ascii="黑体" w:hAnsi="黑体" w:eastAsia="黑体" w:cs="黑体"/>
          <w:color w:val="auto"/>
          <w:szCs w:val="21"/>
        </w:rPr>
        <w:t>公开</w:t>
      </w:r>
      <w:r>
        <w:rPr>
          <w:rFonts w:ascii="黑体" w:hAnsi="黑体" w:eastAsia="黑体" w:cs="黑体"/>
          <w:color w:val="auto"/>
          <w:szCs w:val="21"/>
        </w:rPr>
        <w:t>06</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pPr w:leftFromText="180" w:rightFromText="180" w:vertAnchor="text" w:horzAnchor="margin" w:tblpXSpec="right" w:tblpY="305"/>
        <w:tblW w:w="15300" w:type="dxa"/>
        <w:tblInd w:w="0" w:type="dxa"/>
        <w:tblLayout w:type="fixed"/>
        <w:tblCellMar>
          <w:top w:w="0" w:type="dxa"/>
          <w:left w:w="108" w:type="dxa"/>
          <w:bottom w:w="0" w:type="dxa"/>
          <w:right w:w="108" w:type="dxa"/>
        </w:tblCellMar>
      </w:tblPr>
      <w:tblGrid>
        <w:gridCol w:w="774"/>
        <w:gridCol w:w="3516"/>
        <w:gridCol w:w="996"/>
        <w:gridCol w:w="772"/>
        <w:gridCol w:w="2416"/>
        <w:gridCol w:w="827"/>
        <w:gridCol w:w="774"/>
        <w:gridCol w:w="4396"/>
        <w:gridCol w:w="829"/>
      </w:tblGrid>
      <w:tr>
        <w:tblPrEx>
          <w:tblCellMar>
            <w:top w:w="0" w:type="dxa"/>
            <w:left w:w="108" w:type="dxa"/>
            <w:bottom w:w="0" w:type="dxa"/>
            <w:right w:w="108" w:type="dxa"/>
          </w:tblCellMar>
        </w:tblPrEx>
        <w:trPr>
          <w:trHeight w:val="308" w:hRule="atLeast"/>
        </w:trPr>
        <w:tc>
          <w:tcPr>
            <w:tcW w:w="528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人员经费</w:t>
            </w:r>
          </w:p>
        </w:tc>
        <w:tc>
          <w:tcPr>
            <w:tcW w:w="10014" w:type="dxa"/>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公用经费</w:t>
            </w:r>
          </w:p>
        </w:tc>
      </w:tr>
      <w:tr>
        <w:tblPrEx>
          <w:tblCellMar>
            <w:top w:w="0" w:type="dxa"/>
            <w:left w:w="108" w:type="dxa"/>
            <w:bottom w:w="0" w:type="dxa"/>
            <w:right w:w="108" w:type="dxa"/>
          </w:tblCellMar>
        </w:tblPrEx>
        <w:trPr>
          <w:trHeight w:val="312" w:hRule="atLeast"/>
        </w:trPr>
        <w:tc>
          <w:tcPr>
            <w:tcW w:w="774"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科目编码</w:t>
            </w:r>
          </w:p>
        </w:tc>
        <w:tc>
          <w:tcPr>
            <w:tcW w:w="351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科目名称</w:t>
            </w:r>
          </w:p>
        </w:tc>
        <w:tc>
          <w:tcPr>
            <w:tcW w:w="99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决算数</w:t>
            </w:r>
          </w:p>
        </w:tc>
        <w:tc>
          <w:tcPr>
            <w:tcW w:w="772"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科目编码</w:t>
            </w:r>
          </w:p>
        </w:tc>
        <w:tc>
          <w:tcPr>
            <w:tcW w:w="241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科目名称</w:t>
            </w:r>
          </w:p>
        </w:tc>
        <w:tc>
          <w:tcPr>
            <w:tcW w:w="827"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决算数</w:t>
            </w:r>
          </w:p>
        </w:tc>
        <w:tc>
          <w:tcPr>
            <w:tcW w:w="774"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科目编码</w:t>
            </w:r>
          </w:p>
        </w:tc>
        <w:tc>
          <w:tcPr>
            <w:tcW w:w="4396"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科目名称</w:t>
            </w:r>
          </w:p>
        </w:tc>
        <w:tc>
          <w:tcPr>
            <w:tcW w:w="829"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决算数</w:t>
            </w:r>
          </w:p>
        </w:tc>
      </w:tr>
      <w:tr>
        <w:tblPrEx>
          <w:tblCellMar>
            <w:top w:w="0" w:type="dxa"/>
            <w:left w:w="108" w:type="dxa"/>
            <w:bottom w:w="0" w:type="dxa"/>
            <w:right w:w="108" w:type="dxa"/>
          </w:tblCellMar>
        </w:tblPrEx>
        <w:trPr>
          <w:trHeight w:val="312" w:hRule="atLeast"/>
        </w:trPr>
        <w:tc>
          <w:tcPr>
            <w:tcW w:w="774" w:type="dxa"/>
            <w:vMerge w:val="continue"/>
            <w:tcBorders>
              <w:top w:val="nil"/>
              <w:left w:val="single" w:color="000000" w:sz="4" w:space="0"/>
              <w:bottom w:val="single" w:color="000000" w:sz="4" w:space="0"/>
              <w:right w:val="single" w:color="000000" w:sz="4" w:space="0"/>
            </w:tcBorders>
            <w:vAlign w:val="center"/>
          </w:tcPr>
          <w:p>
            <w:pPr>
              <w:rPr>
                <w:rFonts w:hint="eastAsia" w:ascii="宋体" w:cs="Arial"/>
                <w:color w:val="auto"/>
                <w:sz w:val="22"/>
              </w:rPr>
            </w:pPr>
          </w:p>
        </w:tc>
        <w:tc>
          <w:tcPr>
            <w:tcW w:w="3516"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996"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772"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2416"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827"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774"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4396"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829"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工资福利支出</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690.60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商品和服务支出</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default" w:ascii="宋体" w:eastAsia="宋体" w:cs="Arial"/>
                <w:color w:val="auto"/>
                <w:sz w:val="22"/>
                <w:lang w:val="en-US" w:eastAsia="zh-CN"/>
              </w:rPr>
            </w:pPr>
            <w:r>
              <w:rPr>
                <w:rFonts w:hint="eastAsia" w:ascii="宋体" w:hAnsi="宋体" w:cs="宋体"/>
                <w:color w:val="auto"/>
                <w:kern w:val="0"/>
                <w:sz w:val="22"/>
                <w:lang w:val="en-US" w:eastAsia="zh-CN"/>
              </w:rPr>
              <w:t>206.41</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债务利息及费用支出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基本工资</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141.51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办公费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12.91</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30701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国内债务付息</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津贴补贴</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145.04</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印刷费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8.46</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30702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国外债务付息</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奖金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5.37</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30203</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咨询费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0.30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资本性支出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30106</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伙食补助费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手续费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0.34</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房屋建筑物购建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30107</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绩效工资</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85.12</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水费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办公设备购置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30108</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机关事业单位基本养老保险缴费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131.64</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电费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5.42</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31003</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专用设备购置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30109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职业年金缴费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50.20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邮电费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1.63</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31005</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基础设施建设</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30110</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职工基本医疗保险缴费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取暖费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23.41</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31006</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大型修缮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30111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公务员医疗补助缴费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17.77</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30209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物业管理费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信息网络及软件购置更新</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30112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其他社会保障缴费</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0.50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差旅费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12.70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31008</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物资储备</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30113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住房公积金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69.11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30212</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因公出国（境）费用</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31009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土地补偿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30114</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医疗费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20.46</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30213</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维修（护）费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4.69</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31010</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安置补助</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30199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其他工资福利支出</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23.90</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租赁费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0.97</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31011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地上附着物和青苗补偿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对个人和家庭的补助</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42.41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会议费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31012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拆迁补偿</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30301</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离休费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培训费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0.16</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31013</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公务用车购置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30302</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退休费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公务接待费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5.90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31019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其他交通工具购置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30303</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退职（役）费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30218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专用材料费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31021</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文物和陈列品购置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30304</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抚恤金</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30224</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被装购置费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31022</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无形资产购置</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30305</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生活补助</w:t>
            </w:r>
          </w:p>
        </w:tc>
        <w:tc>
          <w:tcPr>
            <w:tcW w:w="996"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42.41</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30225</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专用燃料费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31099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其他资本性支出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30306</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救济费</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30226</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劳务费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65.00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其他支出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30307</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医疗费补助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30227</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委托业务费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39906</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赠与</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30308</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助学金</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30228</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工会经费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39907</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国家赔偿费用支出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30309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奖励金</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30229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福利费</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39908</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对民间非营利组织和群众性自治组织补贴</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30310</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个人农业生产补贴</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30231</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公务用车运行维护费</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8.44</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39999</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其他支出</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30399</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其他对个人和家庭的补助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30239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其他交通费用</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16.08</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对社会保障基金补助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cs="Arial"/>
                <w:color w:val="auto"/>
                <w:sz w:val="22"/>
                <w:lang w:val="en-US" w:eastAsia="zh-CN"/>
              </w:rPr>
              <w:t>167.33</w:t>
            </w:r>
            <w:r>
              <w:rPr>
                <w:rFonts w:hint="eastAsia" w:cs="Arial"/>
                <w:color w:val="auto"/>
                <w:sz w:val="22"/>
              </w:rPr>
              <w:t>　</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30240</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税金及附加费用</w:t>
            </w:r>
          </w:p>
        </w:tc>
        <w:tc>
          <w:tcPr>
            <w:tcW w:w="827"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trHeight w:val="308" w:hRule="atLeast"/>
        </w:trPr>
        <w:tc>
          <w:tcPr>
            <w:tcW w:w="774" w:type="dxa"/>
            <w:tcBorders>
              <w:top w:val="nil"/>
              <w:left w:val="single" w:color="000000" w:sz="4" w:space="0"/>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35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对社会保险基金补助</w:t>
            </w:r>
          </w:p>
        </w:tc>
        <w:tc>
          <w:tcPr>
            <w:tcW w:w="99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cs="Arial"/>
                <w:color w:val="auto"/>
                <w:sz w:val="22"/>
                <w:lang w:val="en-US" w:eastAsia="zh-CN"/>
              </w:rPr>
              <w:t>167.33</w:t>
            </w:r>
            <w:r>
              <w:rPr>
                <w:rFonts w:hint="eastAsia" w:cs="Arial"/>
                <w:color w:val="auto"/>
                <w:sz w:val="22"/>
              </w:rPr>
              <w:t>　</w:t>
            </w:r>
          </w:p>
        </w:tc>
        <w:tc>
          <w:tcPr>
            <w:tcW w:w="772"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30299</w:t>
            </w:r>
          </w:p>
        </w:tc>
        <w:tc>
          <w:tcPr>
            <w:tcW w:w="241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cs="Arial"/>
                <w:color w:val="auto"/>
                <w:sz w:val="22"/>
              </w:rPr>
              <w:t xml:space="preserve">  </w:t>
            </w:r>
            <w:r>
              <w:rPr>
                <w:rFonts w:hint="eastAsia" w:cs="Arial"/>
                <w:color w:val="auto"/>
                <w:sz w:val="22"/>
              </w:rPr>
              <w:t>其他商品和服务支出</w:t>
            </w:r>
          </w:p>
        </w:tc>
        <w:tc>
          <w:tcPr>
            <w:tcW w:w="827" w:type="dxa"/>
            <w:tcBorders>
              <w:top w:val="nil"/>
              <w:left w:val="nil"/>
              <w:bottom w:val="single" w:color="000000" w:sz="4" w:space="0"/>
              <w:right w:val="single" w:color="000000" w:sz="4" w:space="0"/>
            </w:tcBorders>
            <w:vAlign w:val="center"/>
          </w:tcPr>
          <w:p>
            <w:pPr>
              <w:widowControl/>
              <w:jc w:val="right"/>
              <w:textAlignment w:val="center"/>
              <w:rPr>
                <w:rFonts w:hint="eastAsia" w:ascii="宋体" w:cs="Arial"/>
                <w:color w:val="auto"/>
                <w:sz w:val="22"/>
              </w:rPr>
            </w:pPr>
            <w:r>
              <w:rPr>
                <w:rFonts w:hint="eastAsia" w:ascii="宋体" w:hAnsi="宋体" w:cs="宋体"/>
                <w:color w:val="auto"/>
                <w:kern w:val="0"/>
                <w:sz w:val="22"/>
              </w:rPr>
              <w:t>40.00</w:t>
            </w:r>
          </w:p>
        </w:tc>
        <w:tc>
          <w:tcPr>
            <w:tcW w:w="774"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4396" w:type="dxa"/>
            <w:tcBorders>
              <w:top w:val="nil"/>
              <w:left w:val="nil"/>
              <w:bottom w:val="single" w:color="000000" w:sz="4" w:space="0"/>
              <w:right w:val="single" w:color="000000" w:sz="4" w:space="0"/>
            </w:tcBorders>
            <w:shd w:val="clear" w:color="FFFFFF" w:fill="C0C0C0"/>
            <w:vAlign w:val="center"/>
          </w:tcPr>
          <w:p>
            <w:pPr>
              <w:rPr>
                <w:rFonts w:hint="eastAsia" w:ascii="宋体" w:cs="Arial"/>
                <w:color w:val="auto"/>
                <w:sz w:val="22"/>
              </w:rPr>
            </w:pPr>
            <w:r>
              <w:rPr>
                <w:rFonts w:hint="eastAsia" w:cs="Arial"/>
                <w:color w:val="auto"/>
                <w:sz w:val="22"/>
              </w:rPr>
              <w:t>　</w:t>
            </w:r>
          </w:p>
        </w:tc>
        <w:tc>
          <w:tcPr>
            <w:tcW w:w="829"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trHeight w:val="308" w:hRule="atLeast"/>
        </w:trPr>
        <w:tc>
          <w:tcPr>
            <w:tcW w:w="4290" w:type="dxa"/>
            <w:gridSpan w:val="2"/>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人员经费合计</w:t>
            </w:r>
          </w:p>
        </w:tc>
        <w:tc>
          <w:tcPr>
            <w:tcW w:w="996" w:type="dxa"/>
            <w:tcBorders>
              <w:top w:val="nil"/>
              <w:left w:val="nil"/>
              <w:bottom w:val="single" w:color="000000" w:sz="4" w:space="0"/>
              <w:right w:val="single" w:color="000000" w:sz="4" w:space="0"/>
            </w:tcBorders>
            <w:vAlign w:val="center"/>
          </w:tcPr>
          <w:p>
            <w:pPr>
              <w:jc w:val="right"/>
              <w:rPr>
                <w:rFonts w:hint="default" w:ascii="宋体" w:eastAsia="宋体" w:cs="Arial"/>
                <w:color w:val="auto"/>
                <w:sz w:val="22"/>
                <w:lang w:val="en-US" w:eastAsia="zh-CN"/>
              </w:rPr>
            </w:pPr>
            <w:r>
              <w:rPr>
                <w:rFonts w:hint="eastAsia" w:ascii="宋体" w:cs="Arial"/>
                <w:color w:val="auto"/>
                <w:sz w:val="22"/>
                <w:lang w:val="en-US" w:eastAsia="zh-CN"/>
              </w:rPr>
              <w:t>900.34</w:t>
            </w:r>
          </w:p>
        </w:tc>
        <w:tc>
          <w:tcPr>
            <w:tcW w:w="9185" w:type="dxa"/>
            <w:gridSpan w:val="5"/>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公用经费合计</w:t>
            </w:r>
          </w:p>
        </w:tc>
        <w:tc>
          <w:tcPr>
            <w:tcW w:w="829" w:type="dxa"/>
            <w:tcBorders>
              <w:top w:val="nil"/>
              <w:left w:val="nil"/>
              <w:bottom w:val="single" w:color="000000" w:sz="4" w:space="0"/>
              <w:right w:val="single" w:color="000000" w:sz="4" w:space="0"/>
            </w:tcBorders>
            <w:vAlign w:val="center"/>
          </w:tcPr>
          <w:p>
            <w:pPr>
              <w:widowControl/>
              <w:jc w:val="right"/>
              <w:textAlignment w:val="center"/>
              <w:rPr>
                <w:rFonts w:hint="default" w:ascii="宋体" w:eastAsia="宋体" w:cs="Arial"/>
                <w:color w:val="auto"/>
                <w:sz w:val="22"/>
                <w:lang w:val="en-US" w:eastAsia="zh-CN"/>
              </w:rPr>
            </w:pPr>
            <w:r>
              <w:rPr>
                <w:rFonts w:hint="eastAsia" w:ascii="宋体" w:hAnsi="宋体" w:cs="宋体"/>
                <w:color w:val="auto"/>
                <w:kern w:val="0"/>
                <w:sz w:val="22"/>
                <w:lang w:val="en-US" w:eastAsia="zh-CN"/>
              </w:rPr>
              <w:t>206.41</w:t>
            </w:r>
          </w:p>
        </w:tc>
      </w:tr>
    </w:tbl>
    <w:p>
      <w:pPr>
        <w:autoSpaceDE w:val="0"/>
        <w:autoSpaceDN w:val="0"/>
        <w:adjustRightInd w:val="0"/>
        <w:rPr>
          <w:rFonts w:hint="eastAsia" w:ascii="宋体" w:cs="黑体"/>
          <w:color w:val="auto"/>
          <w:szCs w:val="21"/>
        </w:rPr>
        <w:sectPr>
          <w:pgSz w:w="16838" w:h="11906" w:orient="landscape"/>
          <w:pgMar w:top="1797" w:right="1440" w:bottom="1797" w:left="1928" w:header="851" w:footer="992" w:gutter="0"/>
          <w:pgNumType w:fmt="numberInDash"/>
          <w:cols w:space="425" w:num="1"/>
          <w:docGrid w:linePitch="312" w:charSpace="0"/>
        </w:sectPr>
      </w:pPr>
    </w:p>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年度一般公共预算财政拨款“三公”经费及机关运行经费支出决算表</w:t>
      </w:r>
    </w:p>
    <w:p>
      <w:pPr>
        <w:autoSpaceDE w:val="0"/>
        <w:autoSpaceDN w:val="0"/>
        <w:adjustRightInd w:val="0"/>
        <w:ind w:right="360"/>
        <w:jc w:val="left"/>
        <w:rPr>
          <w:rFonts w:ascii="黑体" w:hAnsi="黑体" w:eastAsia="黑体" w:cs="黑体"/>
          <w:color w:val="auto"/>
          <w:szCs w:val="21"/>
        </w:rPr>
      </w:pP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07</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单位：万元</w:t>
      </w:r>
    </w:p>
    <w:tbl>
      <w:tblPr>
        <w:tblStyle w:val="9"/>
        <w:tblW w:w="14097" w:type="dxa"/>
        <w:tblInd w:w="76" w:type="dxa"/>
        <w:tblLayout w:type="fixed"/>
        <w:tblCellMar>
          <w:top w:w="0" w:type="dxa"/>
          <w:left w:w="108" w:type="dxa"/>
          <w:bottom w:w="0" w:type="dxa"/>
          <w:right w:w="108" w:type="dxa"/>
        </w:tblCellMar>
      </w:tblPr>
      <w:tblGrid>
        <w:gridCol w:w="1172"/>
        <w:gridCol w:w="1172"/>
        <w:gridCol w:w="1173"/>
        <w:gridCol w:w="1173"/>
        <w:gridCol w:w="1179"/>
        <w:gridCol w:w="1179"/>
        <w:gridCol w:w="1173"/>
        <w:gridCol w:w="1173"/>
        <w:gridCol w:w="1173"/>
        <w:gridCol w:w="1173"/>
        <w:gridCol w:w="1176"/>
        <w:gridCol w:w="1181"/>
      </w:tblGrid>
      <w:tr>
        <w:tblPrEx>
          <w:tblCellMar>
            <w:top w:w="0" w:type="dxa"/>
            <w:left w:w="108" w:type="dxa"/>
            <w:bottom w:w="0" w:type="dxa"/>
            <w:right w:w="108" w:type="dxa"/>
          </w:tblCellMar>
        </w:tblPrEx>
        <w:trPr>
          <w:trHeight w:val="308" w:hRule="atLeast"/>
        </w:trPr>
        <w:tc>
          <w:tcPr>
            <w:tcW w:w="7048"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预算数</w:t>
            </w:r>
          </w:p>
        </w:tc>
        <w:tc>
          <w:tcPr>
            <w:tcW w:w="7049" w:type="dxa"/>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决算数</w:t>
            </w:r>
          </w:p>
        </w:tc>
      </w:tr>
      <w:tr>
        <w:tblPrEx>
          <w:tblCellMar>
            <w:top w:w="0" w:type="dxa"/>
            <w:left w:w="108" w:type="dxa"/>
            <w:bottom w:w="0" w:type="dxa"/>
            <w:right w:w="108" w:type="dxa"/>
          </w:tblCellMar>
        </w:tblPrEx>
        <w:trPr>
          <w:trHeight w:val="308" w:hRule="atLeast"/>
        </w:trPr>
        <w:tc>
          <w:tcPr>
            <w:tcW w:w="1172"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合计</w:t>
            </w:r>
          </w:p>
        </w:tc>
        <w:tc>
          <w:tcPr>
            <w:tcW w:w="1172"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因公出国（境）费</w:t>
            </w:r>
          </w:p>
        </w:tc>
        <w:tc>
          <w:tcPr>
            <w:tcW w:w="3525"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公务用车购置及运行费</w:t>
            </w:r>
          </w:p>
        </w:tc>
        <w:tc>
          <w:tcPr>
            <w:tcW w:w="1179"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公务接待费</w:t>
            </w:r>
          </w:p>
        </w:tc>
        <w:tc>
          <w:tcPr>
            <w:tcW w:w="1173"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合计</w:t>
            </w:r>
          </w:p>
        </w:tc>
        <w:tc>
          <w:tcPr>
            <w:tcW w:w="1173"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因公出国（境）费</w:t>
            </w:r>
          </w:p>
        </w:tc>
        <w:tc>
          <w:tcPr>
            <w:tcW w:w="3522" w:type="dxa"/>
            <w:gridSpan w:val="3"/>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公务用车购置及运行费</w:t>
            </w:r>
          </w:p>
        </w:tc>
        <w:tc>
          <w:tcPr>
            <w:tcW w:w="1181" w:type="dxa"/>
            <w:vMerge w:val="restart"/>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公务接待费</w:t>
            </w:r>
          </w:p>
        </w:tc>
      </w:tr>
      <w:tr>
        <w:tblPrEx>
          <w:tblCellMar>
            <w:top w:w="0" w:type="dxa"/>
            <w:left w:w="108" w:type="dxa"/>
            <w:bottom w:w="0" w:type="dxa"/>
            <w:right w:w="108" w:type="dxa"/>
          </w:tblCellMar>
        </w:tblPrEx>
        <w:trPr>
          <w:trHeight w:val="615" w:hRule="atLeast"/>
        </w:trPr>
        <w:tc>
          <w:tcPr>
            <w:tcW w:w="1172" w:type="dxa"/>
            <w:vMerge w:val="continue"/>
            <w:tcBorders>
              <w:top w:val="nil"/>
              <w:left w:val="single" w:color="000000" w:sz="4" w:space="0"/>
              <w:bottom w:val="single" w:color="000000" w:sz="4" w:space="0"/>
              <w:right w:val="single" w:color="000000" w:sz="4" w:space="0"/>
            </w:tcBorders>
            <w:vAlign w:val="center"/>
          </w:tcPr>
          <w:p>
            <w:pPr>
              <w:rPr>
                <w:rFonts w:hint="eastAsia" w:ascii="宋体" w:cs="Arial"/>
                <w:color w:val="auto"/>
                <w:sz w:val="22"/>
              </w:rPr>
            </w:pPr>
          </w:p>
        </w:tc>
        <w:tc>
          <w:tcPr>
            <w:tcW w:w="1172"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小计</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公务用车购置费</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公务用车运行费</w:t>
            </w:r>
          </w:p>
        </w:tc>
        <w:tc>
          <w:tcPr>
            <w:tcW w:w="1179"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1173"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1173"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小计</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公务用车购置费</w:t>
            </w:r>
          </w:p>
        </w:tc>
        <w:tc>
          <w:tcPr>
            <w:tcW w:w="1176"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hint="eastAsia" w:cs="Arial"/>
                <w:color w:val="auto"/>
                <w:sz w:val="22"/>
              </w:rPr>
              <w:t>公务用车运行费</w:t>
            </w:r>
          </w:p>
        </w:tc>
        <w:tc>
          <w:tcPr>
            <w:tcW w:w="1181" w:type="dxa"/>
            <w:vMerge w:val="continue"/>
            <w:tcBorders>
              <w:top w:val="nil"/>
              <w:left w:val="nil"/>
              <w:bottom w:val="single" w:color="000000" w:sz="4" w:space="0"/>
              <w:right w:val="single" w:color="000000" w:sz="4" w:space="0"/>
            </w:tcBorders>
            <w:vAlign w:val="center"/>
          </w:tcPr>
          <w:p>
            <w:pPr>
              <w:rPr>
                <w:rFonts w:hint="eastAsia" w:ascii="宋体" w:cs="Arial"/>
                <w:color w:val="auto"/>
                <w:sz w:val="22"/>
              </w:rPr>
            </w:pPr>
          </w:p>
        </w:tc>
      </w:tr>
      <w:tr>
        <w:tblPrEx>
          <w:tblCellMar>
            <w:top w:w="0" w:type="dxa"/>
            <w:left w:w="108" w:type="dxa"/>
            <w:bottom w:w="0" w:type="dxa"/>
            <w:right w:w="108" w:type="dxa"/>
          </w:tblCellMar>
        </w:tblPrEx>
        <w:trPr>
          <w:trHeight w:val="308" w:hRule="atLeast"/>
        </w:trPr>
        <w:tc>
          <w:tcPr>
            <w:tcW w:w="1172" w:type="dxa"/>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1</w:t>
            </w:r>
          </w:p>
        </w:tc>
        <w:tc>
          <w:tcPr>
            <w:tcW w:w="1172"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2</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3</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4</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5</w:t>
            </w:r>
          </w:p>
        </w:tc>
        <w:tc>
          <w:tcPr>
            <w:tcW w:w="1179"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6</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7</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8</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9</w:t>
            </w:r>
          </w:p>
        </w:tc>
        <w:tc>
          <w:tcPr>
            <w:tcW w:w="1173"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10</w:t>
            </w:r>
          </w:p>
        </w:tc>
        <w:tc>
          <w:tcPr>
            <w:tcW w:w="1176"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11</w:t>
            </w:r>
          </w:p>
        </w:tc>
        <w:tc>
          <w:tcPr>
            <w:tcW w:w="1181" w:type="dxa"/>
            <w:tcBorders>
              <w:top w:val="nil"/>
              <w:left w:val="nil"/>
              <w:bottom w:val="single" w:color="000000" w:sz="4" w:space="0"/>
              <w:right w:val="single" w:color="000000" w:sz="4" w:space="0"/>
            </w:tcBorders>
            <w:shd w:val="clear" w:color="FFFFFF" w:fill="C0C0C0"/>
            <w:vAlign w:val="center"/>
          </w:tcPr>
          <w:p>
            <w:pPr>
              <w:jc w:val="center"/>
              <w:rPr>
                <w:rFonts w:hint="eastAsia" w:ascii="宋体" w:cs="Arial"/>
                <w:color w:val="auto"/>
                <w:sz w:val="22"/>
              </w:rPr>
            </w:pPr>
            <w:r>
              <w:rPr>
                <w:rFonts w:cs="Arial"/>
                <w:color w:val="auto"/>
                <w:sz w:val="22"/>
              </w:rPr>
              <w:t>12</w:t>
            </w:r>
          </w:p>
        </w:tc>
      </w:tr>
      <w:tr>
        <w:tblPrEx>
          <w:tblCellMar>
            <w:top w:w="0" w:type="dxa"/>
            <w:left w:w="108" w:type="dxa"/>
            <w:bottom w:w="0" w:type="dxa"/>
            <w:right w:w="108" w:type="dxa"/>
          </w:tblCellMar>
        </w:tblPrEx>
        <w:trPr>
          <w:trHeight w:val="308" w:hRule="atLeast"/>
        </w:trPr>
        <w:tc>
          <w:tcPr>
            <w:tcW w:w="1172" w:type="dxa"/>
            <w:tcBorders>
              <w:top w:val="nil"/>
              <w:left w:val="single" w:color="000000" w:sz="4" w:space="0"/>
              <w:bottom w:val="single" w:color="000000" w:sz="4" w:space="0"/>
              <w:right w:val="single" w:color="000000" w:sz="4" w:space="0"/>
            </w:tcBorders>
            <w:vAlign w:val="center"/>
          </w:tcPr>
          <w:p>
            <w:pPr>
              <w:jc w:val="right"/>
              <w:rPr>
                <w:rFonts w:hint="eastAsia" w:ascii="宋体" w:eastAsia="宋体" w:cs="Arial"/>
                <w:color w:val="auto"/>
                <w:sz w:val="22"/>
                <w:lang w:eastAsia="zh-CN"/>
              </w:rPr>
            </w:pPr>
            <w:r>
              <w:rPr>
                <w:rFonts w:hint="eastAsia" w:ascii="宋体" w:cs="Arial"/>
                <w:color w:val="auto"/>
                <w:sz w:val="22"/>
                <w:lang w:val="en-US" w:eastAsia="zh-CN"/>
              </w:rPr>
              <w:t>7</w:t>
            </w:r>
          </w:p>
        </w:tc>
        <w:tc>
          <w:tcPr>
            <w:tcW w:w="1172"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0</w:t>
            </w:r>
          </w:p>
        </w:tc>
        <w:tc>
          <w:tcPr>
            <w:tcW w:w="1173" w:type="dxa"/>
            <w:tcBorders>
              <w:top w:val="nil"/>
              <w:left w:val="nil"/>
              <w:bottom w:val="single" w:color="000000" w:sz="4" w:space="0"/>
              <w:right w:val="single" w:color="000000" w:sz="4" w:space="0"/>
            </w:tcBorders>
            <w:vAlign w:val="center"/>
          </w:tcPr>
          <w:p>
            <w:pPr>
              <w:jc w:val="right"/>
              <w:rPr>
                <w:rFonts w:hint="eastAsia" w:ascii="宋体" w:eastAsia="宋体" w:cs="Arial"/>
                <w:color w:val="auto"/>
                <w:sz w:val="22"/>
                <w:lang w:val="en-US" w:eastAsia="zh-CN"/>
              </w:rPr>
            </w:pPr>
            <w:r>
              <w:rPr>
                <w:rFonts w:hint="eastAsia" w:ascii="宋体" w:cs="Arial"/>
                <w:color w:val="auto"/>
                <w:sz w:val="22"/>
                <w:lang w:val="en-US" w:eastAsia="zh-CN"/>
              </w:rPr>
              <w:t>1</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1179" w:type="dxa"/>
            <w:tcBorders>
              <w:top w:val="nil"/>
              <w:left w:val="nil"/>
              <w:bottom w:val="single" w:color="000000" w:sz="4" w:space="0"/>
              <w:right w:val="single" w:color="000000" w:sz="4" w:space="0"/>
            </w:tcBorders>
            <w:vAlign w:val="center"/>
          </w:tcPr>
          <w:p>
            <w:pPr>
              <w:jc w:val="right"/>
              <w:rPr>
                <w:rFonts w:hint="eastAsia" w:ascii="宋体" w:eastAsia="宋体" w:cs="Arial"/>
                <w:color w:val="auto"/>
                <w:sz w:val="22"/>
                <w:lang w:eastAsia="zh-CN"/>
              </w:rPr>
            </w:pPr>
            <w:r>
              <w:rPr>
                <w:rFonts w:hint="eastAsia" w:ascii="宋体" w:cs="Arial"/>
                <w:color w:val="auto"/>
                <w:sz w:val="22"/>
                <w:lang w:val="en-US" w:eastAsia="zh-CN"/>
              </w:rPr>
              <w:t>1</w:t>
            </w:r>
          </w:p>
        </w:tc>
        <w:tc>
          <w:tcPr>
            <w:tcW w:w="1179" w:type="dxa"/>
            <w:tcBorders>
              <w:top w:val="nil"/>
              <w:left w:val="nil"/>
              <w:bottom w:val="single" w:color="000000" w:sz="4" w:space="0"/>
              <w:right w:val="single" w:color="000000" w:sz="4" w:space="0"/>
            </w:tcBorders>
            <w:vAlign w:val="center"/>
          </w:tcPr>
          <w:p>
            <w:pPr>
              <w:jc w:val="right"/>
              <w:rPr>
                <w:rFonts w:hint="eastAsia" w:ascii="宋体" w:eastAsia="宋体" w:cs="Arial"/>
                <w:color w:val="auto"/>
                <w:sz w:val="22"/>
                <w:lang w:eastAsia="zh-CN"/>
              </w:rPr>
            </w:pPr>
            <w:r>
              <w:rPr>
                <w:rFonts w:hint="eastAsia" w:ascii="宋体" w:cs="Arial"/>
                <w:color w:val="auto"/>
                <w:sz w:val="22"/>
                <w:lang w:val="en-US" w:eastAsia="zh-CN"/>
              </w:rPr>
              <w:t>6</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14.34</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cs="Arial"/>
                <w:color w:val="auto"/>
                <w:sz w:val="22"/>
              </w:rPr>
              <w:t>0.00</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8.44</w:t>
            </w:r>
          </w:p>
        </w:tc>
        <w:tc>
          <w:tcPr>
            <w:tcW w:w="1173"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p>
        </w:tc>
        <w:tc>
          <w:tcPr>
            <w:tcW w:w="1176"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8.44</w:t>
            </w:r>
          </w:p>
        </w:tc>
        <w:tc>
          <w:tcPr>
            <w:tcW w:w="1181" w:type="dxa"/>
            <w:tcBorders>
              <w:top w:val="nil"/>
              <w:left w:val="nil"/>
              <w:bottom w:val="single" w:color="000000" w:sz="4" w:space="0"/>
              <w:right w:val="single" w:color="000000" w:sz="4" w:space="0"/>
            </w:tcBorders>
            <w:vAlign w:val="center"/>
          </w:tcPr>
          <w:p>
            <w:pPr>
              <w:jc w:val="right"/>
              <w:rPr>
                <w:rFonts w:hint="eastAsia" w:ascii="宋体" w:cs="Arial"/>
                <w:color w:val="auto"/>
                <w:sz w:val="22"/>
              </w:rPr>
            </w:pPr>
            <w:r>
              <w:rPr>
                <w:rFonts w:hint="eastAsia" w:ascii="宋体" w:cs="Arial"/>
                <w:color w:val="auto"/>
                <w:sz w:val="22"/>
              </w:rPr>
              <w:t>5.9</w:t>
            </w:r>
          </w:p>
        </w:tc>
      </w:tr>
    </w:tbl>
    <w:p>
      <w:pPr>
        <w:autoSpaceDE w:val="0"/>
        <w:autoSpaceDN w:val="0"/>
        <w:adjustRightInd w:val="0"/>
        <w:rPr>
          <w:rFonts w:hint="eastAsia" w:ascii="宋体" w:cs="黑体"/>
          <w:color w:val="auto"/>
          <w:szCs w:val="21"/>
        </w:rPr>
      </w:pPr>
    </w:p>
    <w:p>
      <w:pPr>
        <w:autoSpaceDE w:val="0"/>
        <w:autoSpaceDN w:val="0"/>
        <w:adjustRightInd w:val="0"/>
        <w:rPr>
          <w:rFonts w:hint="eastAsia" w:ascii="宋体" w:cs="黑体"/>
          <w:color w:val="auto"/>
          <w:szCs w:val="21"/>
        </w:rPr>
        <w:sectPr>
          <w:pgSz w:w="16838" w:h="11906" w:orient="landscape"/>
          <w:pgMar w:top="1797" w:right="1440" w:bottom="1797" w:left="1440" w:header="851" w:footer="992" w:gutter="0"/>
          <w:pgNumType w:fmt="numberInDash"/>
          <w:cols w:space="425" w:num="1"/>
          <w:docGrid w:linePitch="312" w:charSpace="0"/>
        </w:sectPr>
      </w:pPr>
    </w:p>
    <w:p>
      <w:pPr>
        <w:autoSpaceDE w:val="0"/>
        <w:autoSpaceDN w:val="0"/>
        <w:adjustRightInd w:val="0"/>
        <w:outlineLvl w:val="0"/>
        <w:rPr>
          <w:rFonts w:ascii="方正小标宋简体" w:hAnsi="宋体" w:eastAsia="方正小标宋简体" w:cs="黑体"/>
          <w:color w:val="auto"/>
          <w:sz w:val="32"/>
          <w:szCs w:val="32"/>
        </w:rPr>
      </w:pPr>
    </w:p>
    <w:p>
      <w:pPr>
        <w:autoSpaceDE w:val="0"/>
        <w:autoSpaceDN w:val="0"/>
        <w:adjustRightInd w:val="0"/>
        <w:jc w:val="center"/>
        <w:outlineLvl w:val="0"/>
        <w:rPr>
          <w:rFonts w:ascii="方正小标宋简体" w:hAnsi="宋体" w:eastAsia="方正小标宋简体" w:cs="黑体"/>
          <w:color w:val="auto"/>
          <w:sz w:val="32"/>
          <w:szCs w:val="32"/>
        </w:rPr>
      </w:pPr>
      <w:r>
        <w:rPr>
          <w:rFonts w:hint="eastAsia" w:ascii="方正小标宋简体" w:hAnsi="宋体" w:eastAsia="方正小标宋简体" w:cs="黑体"/>
          <w:color w:val="auto"/>
          <w:sz w:val="32"/>
          <w:szCs w:val="32"/>
          <w:lang w:eastAsia="zh-CN"/>
        </w:rPr>
        <w:t>2020</w:t>
      </w:r>
      <w:r>
        <w:rPr>
          <w:rFonts w:hint="eastAsia" w:ascii="方正小标宋简体" w:hAnsi="宋体" w:eastAsia="方正小标宋简体" w:cs="黑体"/>
          <w:color w:val="auto"/>
          <w:sz w:val="32"/>
          <w:szCs w:val="32"/>
        </w:rPr>
        <w:t>年度政府性基金预算财政拨款收入支出决算表</w:t>
      </w:r>
    </w:p>
    <w:p>
      <w:pPr>
        <w:autoSpaceDE w:val="0"/>
        <w:autoSpaceDN w:val="0"/>
        <w:adjustRightInd w:val="0"/>
        <w:ind w:right="360"/>
        <w:jc w:val="left"/>
        <w:rPr>
          <w:rFonts w:hint="eastAsia" w:ascii="宋体" w:cs="黑体"/>
          <w:color w:val="auto"/>
          <w:szCs w:val="21"/>
        </w:rPr>
      </w:pPr>
    </w:p>
    <w:p>
      <w:pPr>
        <w:autoSpaceDE w:val="0"/>
        <w:autoSpaceDN w:val="0"/>
        <w:adjustRightInd w:val="0"/>
        <w:ind w:right="360"/>
        <w:jc w:val="left"/>
        <w:rPr>
          <w:rFonts w:hint="eastAsia" w:ascii="宋体" w:cs="黑体"/>
          <w:color w:val="auto"/>
          <w:szCs w:val="21"/>
        </w:rPr>
      </w:pPr>
    </w:p>
    <w:p>
      <w:pPr>
        <w:autoSpaceDE w:val="0"/>
        <w:autoSpaceDN w:val="0"/>
        <w:adjustRightInd w:val="0"/>
        <w:ind w:right="360"/>
        <w:jc w:val="left"/>
        <w:rPr>
          <w:rFonts w:ascii="黑体" w:hAnsi="黑体" w:eastAsia="黑体" w:cs="黑体"/>
          <w:color w:val="auto"/>
          <w:szCs w:val="21"/>
        </w:rPr>
      </w:pPr>
      <w:r>
        <w:rPr>
          <w:rFonts w:hint="eastAsia" w:ascii="黑体" w:hAnsi="黑体" w:eastAsia="黑体" w:cs="黑体"/>
          <w:color w:val="auto"/>
          <w:szCs w:val="21"/>
        </w:rPr>
        <w:t>公开</w:t>
      </w:r>
      <w:r>
        <w:rPr>
          <w:rFonts w:ascii="黑体" w:hAnsi="黑体" w:eastAsia="黑体" w:cs="黑体"/>
          <w:color w:val="auto"/>
          <w:szCs w:val="21"/>
        </w:rPr>
        <w:t>08</w:t>
      </w:r>
      <w:r>
        <w:rPr>
          <w:rFonts w:hint="eastAsia" w:ascii="黑体" w:hAnsi="黑体" w:eastAsia="黑体" w:cs="黑体"/>
          <w:color w:val="auto"/>
          <w:szCs w:val="21"/>
        </w:rPr>
        <w:t>表</w:t>
      </w:r>
      <w:r>
        <w:rPr>
          <w:rFonts w:ascii="黑体" w:hAnsi="黑体" w:eastAsia="黑体" w:cs="黑体"/>
          <w:color w:val="auto"/>
          <w:szCs w:val="21"/>
        </w:rPr>
        <w:t xml:space="preserve">                                                                                                              </w:t>
      </w:r>
      <w:r>
        <w:rPr>
          <w:rFonts w:hint="eastAsia" w:ascii="黑体" w:hAnsi="黑体" w:eastAsia="黑体" w:cs="黑体"/>
          <w:color w:val="auto"/>
          <w:szCs w:val="21"/>
        </w:rPr>
        <w:t>单位</w:t>
      </w:r>
      <w:r>
        <w:rPr>
          <w:rFonts w:ascii="黑体" w:hAnsi="黑体" w:eastAsia="黑体" w:cs="黑体"/>
          <w:color w:val="auto"/>
          <w:szCs w:val="21"/>
        </w:rPr>
        <w:t xml:space="preserve">: </w:t>
      </w:r>
      <w:r>
        <w:rPr>
          <w:rFonts w:hint="eastAsia" w:ascii="黑体" w:hAnsi="黑体" w:eastAsia="黑体" w:cs="黑体"/>
          <w:color w:val="auto"/>
          <w:szCs w:val="21"/>
        </w:rPr>
        <w:t>万元</w:t>
      </w:r>
      <w:r>
        <w:rPr>
          <w:rFonts w:ascii="黑体" w:hAnsi="黑体" w:eastAsia="黑体" w:cs="黑体"/>
          <w:color w:val="auto"/>
          <w:szCs w:val="21"/>
        </w:rPr>
        <w:t xml:space="preserve">                                                                                                                 </w:t>
      </w:r>
    </w:p>
    <w:tbl>
      <w:tblPr>
        <w:tblStyle w:val="9"/>
        <w:tblW w:w="13065" w:type="dxa"/>
        <w:tblInd w:w="0" w:type="dxa"/>
        <w:tblLayout w:type="fixed"/>
        <w:tblCellMar>
          <w:top w:w="15" w:type="dxa"/>
          <w:left w:w="15" w:type="dxa"/>
          <w:bottom w:w="15" w:type="dxa"/>
          <w:right w:w="15" w:type="dxa"/>
        </w:tblCellMar>
      </w:tblPr>
      <w:tblGrid>
        <w:gridCol w:w="330"/>
        <w:gridCol w:w="960"/>
        <w:gridCol w:w="960"/>
        <w:gridCol w:w="3631"/>
        <w:gridCol w:w="1095"/>
        <w:gridCol w:w="1200"/>
        <w:gridCol w:w="1215"/>
        <w:gridCol w:w="1110"/>
        <w:gridCol w:w="1486"/>
        <w:gridCol w:w="1078"/>
      </w:tblGrid>
      <w:tr>
        <w:tblPrEx>
          <w:tblCellMar>
            <w:top w:w="15" w:type="dxa"/>
            <w:left w:w="15" w:type="dxa"/>
            <w:bottom w:w="15" w:type="dxa"/>
            <w:right w:w="15" w:type="dxa"/>
          </w:tblCellMar>
        </w:tblPrEx>
        <w:trPr>
          <w:trHeight w:val="301" w:hRule="atLeast"/>
        </w:trPr>
        <w:tc>
          <w:tcPr>
            <w:tcW w:w="588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年初结转和结余</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本年收入</w:t>
            </w:r>
          </w:p>
        </w:tc>
        <w:tc>
          <w:tcPr>
            <w:tcW w:w="3811"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本年支出</w:t>
            </w:r>
          </w:p>
        </w:tc>
        <w:tc>
          <w:tcPr>
            <w:tcW w:w="1078"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年末结转和结余</w:t>
            </w:r>
          </w:p>
        </w:tc>
      </w:tr>
      <w:tr>
        <w:tblPrEx>
          <w:tblCellMar>
            <w:top w:w="15" w:type="dxa"/>
            <w:left w:w="15" w:type="dxa"/>
            <w:bottom w:w="15" w:type="dxa"/>
            <w:right w:w="15" w:type="dxa"/>
          </w:tblCellMar>
        </w:tblPrEx>
        <w:trPr>
          <w:trHeight w:val="312" w:hRule="atLeast"/>
        </w:trPr>
        <w:tc>
          <w:tcPr>
            <w:tcW w:w="2250" w:type="dxa"/>
            <w:gridSpan w:val="3"/>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支出功能分类科目编码</w:t>
            </w:r>
          </w:p>
        </w:tc>
        <w:tc>
          <w:tcPr>
            <w:tcW w:w="3631" w:type="dxa"/>
            <w:vMerge w:val="restart"/>
            <w:tcBorders>
              <w:bottom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15"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小计</w:t>
            </w:r>
          </w:p>
        </w:tc>
        <w:tc>
          <w:tcPr>
            <w:tcW w:w="111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基本支出</w:t>
            </w:r>
          </w:p>
        </w:tc>
        <w:tc>
          <w:tcPr>
            <w:tcW w:w="1486"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项目支出</w:t>
            </w: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r>
      <w:tr>
        <w:tblPrEx>
          <w:tblCellMar>
            <w:top w:w="15" w:type="dxa"/>
            <w:left w:w="15" w:type="dxa"/>
            <w:bottom w:w="15" w:type="dxa"/>
            <w:right w:w="15" w:type="dxa"/>
          </w:tblCellMar>
        </w:tblPrEx>
        <w:trPr>
          <w:trHeight w:val="312"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3631" w:type="dxa"/>
            <w:vMerge w:val="continue"/>
            <w:tcBorders>
              <w:bottom w:val="single" w:color="000000" w:sz="4" w:space="0"/>
            </w:tcBorders>
            <w:shd w:val="clear" w:color="FFFFFF" w:fill="C0C0C0"/>
            <w:vAlign w:val="center"/>
          </w:tcPr>
          <w:p>
            <w:pPr>
              <w:jc w:val="center"/>
              <w:rPr>
                <w:rFonts w:ascii="宋体" w:hAnsi="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1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11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48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r>
      <w:tr>
        <w:tblPrEx>
          <w:tblCellMar>
            <w:top w:w="15" w:type="dxa"/>
            <w:left w:w="15" w:type="dxa"/>
            <w:bottom w:w="15" w:type="dxa"/>
            <w:right w:w="15" w:type="dxa"/>
          </w:tblCellMar>
        </w:tblPrEx>
        <w:trPr>
          <w:trHeight w:val="615" w:hRule="atLeast"/>
        </w:trPr>
        <w:tc>
          <w:tcPr>
            <w:tcW w:w="2250"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3631" w:type="dxa"/>
            <w:vMerge w:val="continue"/>
            <w:tcBorders>
              <w:bottom w:val="single" w:color="000000" w:sz="4" w:space="0"/>
            </w:tcBorders>
            <w:shd w:val="clear" w:color="FFFFFF" w:fill="C0C0C0"/>
            <w:vAlign w:val="center"/>
          </w:tcPr>
          <w:p>
            <w:pPr>
              <w:jc w:val="center"/>
              <w:rPr>
                <w:rFonts w:ascii="宋体" w:hAnsi="宋体" w:cs="宋体"/>
                <w:color w:val="auto"/>
                <w:sz w:val="22"/>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215"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11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486"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107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330"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类</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款</w:t>
            </w:r>
          </w:p>
        </w:tc>
        <w:tc>
          <w:tcPr>
            <w:tcW w:w="960"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w:t>
            </w:r>
          </w:p>
        </w:tc>
        <w:tc>
          <w:tcPr>
            <w:tcW w:w="363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109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20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215"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110"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486"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1078"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r>
      <w:tr>
        <w:tblPrEx>
          <w:tblCellMar>
            <w:top w:w="15" w:type="dxa"/>
            <w:left w:w="15" w:type="dxa"/>
            <w:bottom w:w="15" w:type="dxa"/>
            <w:right w:w="15" w:type="dxa"/>
          </w:tblCellMar>
        </w:tblPrEx>
        <w:trPr>
          <w:trHeight w:val="301" w:hRule="atLeast"/>
        </w:trPr>
        <w:tc>
          <w:tcPr>
            <w:tcW w:w="33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ascii="宋体" w:hAnsi="宋体" w:cs="宋体"/>
                <w:color w:val="auto"/>
                <w:sz w:val="22"/>
              </w:rPr>
            </w:pPr>
          </w:p>
        </w:tc>
        <w:tc>
          <w:tcPr>
            <w:tcW w:w="3631" w:type="dxa"/>
            <w:tcBorders>
              <w:bottom w:val="single" w:color="000000" w:sz="4" w:space="0"/>
              <w:right w:val="single" w:color="000000" w:sz="4" w:space="0"/>
            </w:tcBorders>
            <w:shd w:val="clear" w:color="FFFFFF" w:fill="C0C0C0"/>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3631" w:type="dxa"/>
            <w:tcBorders>
              <w:bottom w:val="single" w:color="000000" w:sz="4" w:space="0"/>
              <w:right w:val="single" w:color="000000" w:sz="4" w:space="0"/>
            </w:tcBorders>
            <w:shd w:val="clear" w:color="auto" w:fill="auto"/>
            <w:vAlign w:val="center"/>
          </w:tcPr>
          <w:p>
            <w:pPr>
              <w:jc w:val="left"/>
              <w:rPr>
                <w:rFonts w:ascii="宋体" w:hAnsi="宋体" w:cs="宋体"/>
                <w:color w:val="auto"/>
                <w:sz w:val="22"/>
              </w:rPr>
            </w:pPr>
          </w:p>
        </w:tc>
        <w:tc>
          <w:tcPr>
            <w:tcW w:w="109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0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215"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110"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486"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c>
          <w:tcPr>
            <w:tcW w:w="1078" w:type="dxa"/>
            <w:tcBorders>
              <w:bottom w:val="single" w:color="000000" w:sz="4" w:space="0"/>
              <w:right w:val="single" w:color="000000" w:sz="4" w:space="0"/>
            </w:tcBorders>
            <w:shd w:val="clear" w:color="auto" w:fill="auto"/>
            <w:vAlign w:val="center"/>
          </w:tcPr>
          <w:p>
            <w:pPr>
              <w:jc w:val="right"/>
              <w:rPr>
                <w:rFonts w:ascii="宋体" w:hAnsi="宋体" w:cs="宋体"/>
                <w:color w:val="auto"/>
                <w:sz w:val="22"/>
              </w:rPr>
            </w:pPr>
          </w:p>
        </w:tc>
      </w:tr>
      <w:tr>
        <w:tblPrEx>
          <w:tblCellMar>
            <w:top w:w="15" w:type="dxa"/>
            <w:left w:w="15" w:type="dxa"/>
            <w:bottom w:w="15" w:type="dxa"/>
            <w:right w:w="15" w:type="dxa"/>
          </w:tblCellMar>
        </w:tblPrEx>
        <w:trPr>
          <w:trHeight w:val="301" w:hRule="atLeast"/>
        </w:trPr>
        <w:tc>
          <w:tcPr>
            <w:tcW w:w="2250" w:type="dxa"/>
            <w:gridSpan w:val="3"/>
            <w:tcBorders>
              <w:left w:val="single" w:color="000000" w:sz="4" w:space="0"/>
              <w:bottom w:val="single" w:color="000000" w:sz="12" w:space="0"/>
              <w:right w:val="single" w:color="000000" w:sz="4" w:space="0"/>
            </w:tcBorders>
            <w:shd w:val="clear" w:color="auto" w:fill="auto"/>
            <w:vAlign w:val="center"/>
          </w:tcPr>
          <w:p>
            <w:pPr>
              <w:jc w:val="left"/>
              <w:rPr>
                <w:rFonts w:ascii="宋体" w:hAnsi="宋体" w:cs="宋体"/>
                <w:color w:val="auto"/>
                <w:sz w:val="22"/>
              </w:rPr>
            </w:pPr>
          </w:p>
        </w:tc>
        <w:tc>
          <w:tcPr>
            <w:tcW w:w="3631" w:type="dxa"/>
            <w:tcBorders>
              <w:bottom w:val="single" w:color="000000" w:sz="12" w:space="0"/>
              <w:right w:val="single" w:color="000000" w:sz="4" w:space="0"/>
            </w:tcBorders>
            <w:shd w:val="clear" w:color="auto" w:fill="auto"/>
            <w:vAlign w:val="center"/>
          </w:tcPr>
          <w:p>
            <w:pPr>
              <w:jc w:val="left"/>
              <w:rPr>
                <w:rFonts w:ascii="宋体" w:hAnsi="宋体" w:cs="宋体"/>
                <w:color w:val="auto"/>
                <w:sz w:val="22"/>
              </w:rPr>
            </w:pPr>
          </w:p>
        </w:tc>
        <w:tc>
          <w:tcPr>
            <w:tcW w:w="1095"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c>
          <w:tcPr>
            <w:tcW w:w="1200"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c>
          <w:tcPr>
            <w:tcW w:w="1215"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c>
          <w:tcPr>
            <w:tcW w:w="1110"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c>
          <w:tcPr>
            <w:tcW w:w="1486"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c>
          <w:tcPr>
            <w:tcW w:w="1078" w:type="dxa"/>
            <w:tcBorders>
              <w:bottom w:val="single" w:color="000000" w:sz="12" w:space="0"/>
              <w:right w:val="single" w:color="000000" w:sz="4" w:space="0"/>
            </w:tcBorders>
            <w:shd w:val="clear" w:color="auto" w:fill="auto"/>
            <w:vAlign w:val="center"/>
          </w:tcPr>
          <w:p>
            <w:pPr>
              <w:jc w:val="right"/>
              <w:rPr>
                <w:rFonts w:ascii="宋体" w:hAnsi="宋体" w:cs="宋体"/>
                <w:color w:val="auto"/>
                <w:sz w:val="22"/>
              </w:rPr>
            </w:pPr>
          </w:p>
        </w:tc>
      </w:tr>
    </w:tbl>
    <w:p>
      <w:pPr>
        <w:jc w:val="center"/>
        <w:rPr>
          <w:rFonts w:ascii="黑体" w:hAnsi="黑体" w:eastAsia="黑体" w:cs="黑体"/>
          <w:b/>
          <w:color w:val="auto"/>
          <w:sz w:val="24"/>
          <w:szCs w:val="24"/>
        </w:rPr>
      </w:pPr>
    </w:p>
    <w:p>
      <w:pPr>
        <w:jc w:val="center"/>
        <w:rPr>
          <w:rFonts w:ascii="黑体" w:hAnsi="黑体" w:eastAsia="黑体" w:cs="黑体"/>
          <w:b/>
          <w:color w:val="auto"/>
          <w:sz w:val="24"/>
          <w:szCs w:val="24"/>
        </w:rPr>
      </w:pPr>
    </w:p>
    <w:p>
      <w:pPr>
        <w:jc w:val="both"/>
        <w:rPr>
          <w:rFonts w:ascii="黑体" w:hAnsi="黑体" w:eastAsia="黑体" w:cs="黑体"/>
          <w:b/>
          <w:color w:val="auto"/>
          <w:sz w:val="24"/>
          <w:szCs w:val="24"/>
        </w:rPr>
      </w:pPr>
    </w:p>
    <w:p>
      <w:pPr>
        <w:jc w:val="center"/>
        <w:rPr>
          <w:rFonts w:hint="eastAsia" w:ascii="宋体" w:cs="黑体"/>
          <w:color w:val="auto"/>
          <w:szCs w:val="21"/>
        </w:rPr>
      </w:pPr>
      <w:r>
        <w:rPr>
          <w:rFonts w:hint="eastAsia" w:ascii="黑体" w:eastAsia="黑体" w:cs="黑体"/>
          <w:color w:val="auto"/>
          <w:sz w:val="30"/>
          <w:szCs w:val="30"/>
        </w:rPr>
        <w:t>第三部分</w:t>
      </w:r>
      <w:r>
        <w:rPr>
          <w:rFonts w:ascii="黑体" w:eastAsia="黑体" w:cs="黑体"/>
          <w:color w:val="auto"/>
          <w:sz w:val="30"/>
          <w:szCs w:val="30"/>
        </w:rPr>
        <w:t xml:space="preserve">  </w:t>
      </w:r>
      <w:r>
        <w:rPr>
          <w:rFonts w:hint="eastAsia" w:ascii="黑体" w:eastAsia="黑体" w:cs="黑体"/>
          <w:color w:val="auto"/>
          <w:sz w:val="30"/>
          <w:szCs w:val="30"/>
        </w:rPr>
        <w:t>庄河市人民政府荷花山镇人民政府</w:t>
      </w:r>
      <w:r>
        <w:rPr>
          <w:rFonts w:hint="eastAsia" w:ascii="黑体" w:eastAsia="黑体" w:cs="黑体"/>
          <w:color w:val="auto"/>
          <w:sz w:val="30"/>
          <w:szCs w:val="30"/>
          <w:lang w:eastAsia="zh-CN"/>
        </w:rPr>
        <w:t>2020</w:t>
      </w:r>
      <w:r>
        <w:rPr>
          <w:rFonts w:hint="eastAsia" w:ascii="黑体" w:eastAsia="黑体" w:cs="黑体"/>
          <w:color w:val="auto"/>
          <w:sz w:val="30"/>
          <w:szCs w:val="30"/>
        </w:rPr>
        <w:t>年度部门决算情况说明</w:t>
      </w:r>
    </w:p>
    <w:p>
      <w:pPr>
        <w:jc w:val="center"/>
        <w:rPr>
          <w:rFonts w:hint="eastAsia" w:ascii="黑体" w:eastAsia="黑体" w:cs="黑体"/>
          <w:color w:val="auto"/>
          <w:sz w:val="30"/>
          <w:szCs w:val="30"/>
        </w:rPr>
      </w:pPr>
    </w:p>
    <w:p>
      <w:pPr>
        <w:pStyle w:val="21"/>
        <w:numPr>
          <w:ilvl w:val="0"/>
          <w:numId w:val="1"/>
        </w:numPr>
        <w:ind w:firstLineChars="0"/>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关于</w:t>
      </w:r>
      <w:r>
        <w:rPr>
          <w:rFonts w:hint="eastAsia" w:ascii="楷体_GB2312" w:hAnsi="宋体" w:eastAsia="楷体_GB2312" w:cs="黑体"/>
          <w:b/>
          <w:color w:val="auto"/>
          <w:sz w:val="30"/>
          <w:szCs w:val="30"/>
        </w:rPr>
        <w:t>庄河市荷花山镇人民政府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年度收入支出决算总体情况说明</w:t>
      </w:r>
    </w:p>
    <w:p>
      <w:pPr>
        <w:pStyle w:val="21"/>
        <w:ind w:left="720" w:firstLine="0" w:firstLineChars="0"/>
        <w:outlineLvl w:val="0"/>
        <w:rPr>
          <w:rFonts w:hint="eastAsia" w:ascii="楷体_GB2312" w:eastAsia="楷体_GB2312"/>
          <w:b/>
          <w:color w:val="auto"/>
          <w:sz w:val="30"/>
          <w:szCs w:val="30"/>
        </w:rPr>
      </w:pPr>
      <w:r>
        <w:rPr>
          <w:rFonts w:hint="eastAsia" w:hAnsi="宋体"/>
          <w:color w:val="auto"/>
          <w:sz w:val="30"/>
          <w:szCs w:val="30"/>
        </w:rPr>
        <w:t>庄河市荷花山镇人民政府</w:t>
      </w:r>
      <w:r>
        <w:rPr>
          <w:rFonts w:hint="eastAsia"/>
          <w:color w:val="auto"/>
          <w:sz w:val="30"/>
          <w:szCs w:val="30"/>
          <w:lang w:eastAsia="zh-CN"/>
        </w:rPr>
        <w:t>2020</w:t>
      </w:r>
      <w:r>
        <w:rPr>
          <w:rFonts w:hint="eastAsia"/>
          <w:color w:val="auto"/>
          <w:sz w:val="30"/>
          <w:szCs w:val="30"/>
        </w:rPr>
        <w:t>年度收入总计为</w:t>
      </w:r>
      <w:r>
        <w:rPr>
          <w:rFonts w:hint="eastAsia"/>
          <w:color w:val="auto"/>
          <w:sz w:val="30"/>
          <w:szCs w:val="30"/>
          <w:lang w:val="en-US" w:eastAsia="zh-CN"/>
        </w:rPr>
        <w:t>3269.58</w:t>
      </w:r>
      <w:r>
        <w:rPr>
          <w:rFonts w:hint="eastAsia"/>
          <w:color w:val="auto"/>
          <w:sz w:val="30"/>
          <w:szCs w:val="30"/>
        </w:rPr>
        <w:t>万元、支出总计为</w:t>
      </w:r>
      <w:r>
        <w:rPr>
          <w:rFonts w:hint="eastAsia"/>
          <w:color w:val="auto"/>
          <w:sz w:val="30"/>
          <w:szCs w:val="30"/>
          <w:lang w:val="en-US" w:eastAsia="zh-CN"/>
        </w:rPr>
        <w:t>3269.58</w:t>
      </w:r>
      <w:r>
        <w:rPr>
          <w:rFonts w:hint="eastAsia"/>
          <w:color w:val="auto"/>
          <w:sz w:val="30"/>
          <w:szCs w:val="30"/>
        </w:rPr>
        <w:t>万元。与</w:t>
      </w:r>
      <w:r>
        <w:rPr>
          <w:rFonts w:hint="eastAsia"/>
          <w:color w:val="auto"/>
          <w:sz w:val="30"/>
          <w:szCs w:val="30"/>
          <w:lang w:eastAsia="zh-CN"/>
        </w:rPr>
        <w:t>2019</w:t>
      </w:r>
      <w:r>
        <w:rPr>
          <w:rFonts w:hint="eastAsia"/>
          <w:color w:val="auto"/>
          <w:sz w:val="30"/>
          <w:szCs w:val="30"/>
        </w:rPr>
        <w:t>年度相比，收入、支出总计各减少</w:t>
      </w:r>
      <w:r>
        <w:rPr>
          <w:rFonts w:hint="eastAsia"/>
          <w:color w:val="auto"/>
          <w:sz w:val="30"/>
          <w:szCs w:val="30"/>
          <w:lang w:val="en-US" w:eastAsia="zh-CN"/>
        </w:rPr>
        <w:t>213.8</w:t>
      </w:r>
      <w:r>
        <w:rPr>
          <w:rFonts w:hint="eastAsia"/>
          <w:color w:val="auto"/>
          <w:sz w:val="30"/>
          <w:szCs w:val="30"/>
        </w:rPr>
        <w:t>万元。主要原因：</w:t>
      </w:r>
      <w:r>
        <w:rPr>
          <w:rFonts w:hint="eastAsia"/>
          <w:color w:val="auto"/>
          <w:sz w:val="30"/>
          <w:szCs w:val="30"/>
          <w:lang w:val="en-US" w:eastAsia="zh-CN"/>
        </w:rPr>
        <w:t>税收减少</w:t>
      </w:r>
      <w:r>
        <w:rPr>
          <w:rFonts w:hint="eastAsia"/>
          <w:color w:val="auto"/>
          <w:sz w:val="30"/>
          <w:szCs w:val="30"/>
        </w:rPr>
        <w:t>，收入与支出减少。</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二、关于</w:t>
      </w:r>
      <w:r>
        <w:rPr>
          <w:rFonts w:hint="eastAsia" w:ascii="楷体_GB2312" w:hAnsi="宋体" w:eastAsia="楷体_GB2312" w:cs="黑体"/>
          <w:b/>
          <w:color w:val="auto"/>
          <w:sz w:val="30"/>
          <w:szCs w:val="30"/>
        </w:rPr>
        <w:t>庄河市人民政府荷花山镇人民政府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年度收入决算情况说明</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本年</w:t>
      </w:r>
      <w:r>
        <w:rPr>
          <w:rFonts w:hint="eastAsia" w:ascii="仿宋_GB2312" w:eastAsia="仿宋_GB2312" w:cs="黑体"/>
          <w:color w:val="auto"/>
          <w:sz w:val="30"/>
          <w:szCs w:val="30"/>
        </w:rPr>
        <w:t>收入合计</w:t>
      </w:r>
      <w:r>
        <w:rPr>
          <w:rFonts w:hint="eastAsia" w:eastAsia="仿宋_GB2312"/>
          <w:color w:val="auto"/>
          <w:sz w:val="30"/>
          <w:szCs w:val="30"/>
          <w:lang w:val="en-US" w:eastAsia="zh-CN"/>
        </w:rPr>
        <w:t>3269.58</w:t>
      </w:r>
      <w:r>
        <w:rPr>
          <w:rFonts w:hint="eastAsia" w:ascii="仿宋_GB2312" w:eastAsia="仿宋_GB2312" w:cs="黑体"/>
          <w:color w:val="auto"/>
          <w:sz w:val="30"/>
          <w:szCs w:val="30"/>
        </w:rPr>
        <w:t>万元，其中：财政拨款收入</w:t>
      </w:r>
      <w:r>
        <w:rPr>
          <w:rFonts w:hint="eastAsia" w:eastAsia="仿宋_GB2312"/>
          <w:color w:val="auto"/>
          <w:sz w:val="30"/>
          <w:szCs w:val="30"/>
          <w:lang w:val="en-US" w:eastAsia="zh-CN"/>
        </w:rPr>
        <w:t>3269.58</w:t>
      </w:r>
      <w:r>
        <w:rPr>
          <w:rFonts w:hint="eastAsia" w:ascii="仿宋_GB2312" w:eastAsia="仿宋_GB2312" w:cs="黑体"/>
          <w:color w:val="auto"/>
          <w:sz w:val="30"/>
          <w:szCs w:val="30"/>
        </w:rPr>
        <w:t>万元，占</w:t>
      </w:r>
      <w:r>
        <w:rPr>
          <w:rFonts w:ascii="仿宋_GB2312" w:eastAsia="仿宋_GB2312" w:cs="黑体"/>
          <w:color w:val="auto"/>
          <w:sz w:val="30"/>
          <w:szCs w:val="30"/>
        </w:rPr>
        <w:t>100%</w:t>
      </w:r>
      <w:r>
        <w:rPr>
          <w:rFonts w:hint="eastAsia" w:ascii="仿宋_GB2312" w:eastAsia="仿宋_GB2312" w:cs="黑体"/>
          <w:color w:val="auto"/>
          <w:sz w:val="30"/>
          <w:szCs w:val="30"/>
        </w:rPr>
        <w:t>。</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三、关于</w:t>
      </w:r>
      <w:r>
        <w:rPr>
          <w:rFonts w:hint="eastAsia" w:ascii="楷体_GB2312" w:hAnsi="宋体" w:eastAsia="楷体_GB2312" w:cs="黑体"/>
          <w:b/>
          <w:color w:val="auto"/>
          <w:sz w:val="30"/>
          <w:szCs w:val="30"/>
        </w:rPr>
        <w:t>庄河市人民政府荷花山镇人民政府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年度支出决算情况说明</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本年</w:t>
      </w:r>
      <w:r>
        <w:rPr>
          <w:rFonts w:hint="eastAsia" w:ascii="仿宋_GB2312" w:eastAsia="仿宋_GB2312" w:cs="黑体"/>
          <w:color w:val="auto"/>
          <w:sz w:val="30"/>
          <w:szCs w:val="30"/>
        </w:rPr>
        <w:t>支出合计</w:t>
      </w:r>
      <w:r>
        <w:rPr>
          <w:rFonts w:hint="eastAsia" w:eastAsia="仿宋_GB2312"/>
          <w:color w:val="auto"/>
          <w:sz w:val="30"/>
          <w:szCs w:val="30"/>
          <w:lang w:val="en-US" w:eastAsia="zh-CN"/>
        </w:rPr>
        <w:t>3269.58</w:t>
      </w:r>
      <w:r>
        <w:rPr>
          <w:rFonts w:hint="eastAsia" w:ascii="仿宋_GB2312" w:eastAsia="仿宋_GB2312" w:cs="黑体"/>
          <w:color w:val="auto"/>
          <w:sz w:val="30"/>
          <w:szCs w:val="30"/>
        </w:rPr>
        <w:t>万元，其中：基本支出</w:t>
      </w:r>
      <w:r>
        <w:rPr>
          <w:rFonts w:hint="eastAsia" w:ascii="仿宋_GB2312" w:eastAsia="仿宋_GB2312" w:cs="黑体"/>
          <w:color w:val="auto"/>
          <w:sz w:val="30"/>
          <w:szCs w:val="30"/>
          <w:lang w:val="en-US" w:eastAsia="zh-CN"/>
        </w:rPr>
        <w:t>939.42</w:t>
      </w:r>
      <w:r>
        <w:rPr>
          <w:rFonts w:hint="eastAsia" w:ascii="仿宋_GB2312" w:eastAsia="仿宋_GB2312" w:cs="黑体"/>
          <w:color w:val="auto"/>
          <w:sz w:val="30"/>
          <w:szCs w:val="30"/>
        </w:rPr>
        <w:t>万元，占</w:t>
      </w:r>
      <w:r>
        <w:rPr>
          <w:rFonts w:hint="eastAsia" w:ascii="仿宋_GB2312" w:eastAsia="仿宋_GB2312" w:cs="黑体"/>
          <w:color w:val="auto"/>
          <w:sz w:val="30"/>
          <w:szCs w:val="30"/>
          <w:lang w:val="en-US" w:eastAsia="zh-CN"/>
        </w:rPr>
        <w:t>28.7</w:t>
      </w:r>
      <w:r>
        <w:rPr>
          <w:rFonts w:ascii="仿宋_GB2312" w:eastAsia="仿宋_GB2312" w:cs="黑体"/>
          <w:color w:val="auto"/>
          <w:sz w:val="30"/>
          <w:szCs w:val="30"/>
        </w:rPr>
        <w:t>%</w:t>
      </w:r>
      <w:r>
        <w:rPr>
          <w:rFonts w:hint="eastAsia" w:ascii="仿宋_GB2312" w:eastAsia="仿宋_GB2312" w:cs="黑体"/>
          <w:color w:val="auto"/>
          <w:sz w:val="30"/>
          <w:szCs w:val="30"/>
        </w:rPr>
        <w:t>；项目支出</w:t>
      </w:r>
      <w:r>
        <w:rPr>
          <w:rFonts w:hint="eastAsia" w:ascii="仿宋_GB2312" w:eastAsia="仿宋_GB2312" w:cs="黑体"/>
          <w:color w:val="auto"/>
          <w:sz w:val="30"/>
          <w:szCs w:val="30"/>
          <w:lang w:val="en-US" w:eastAsia="zh-CN"/>
        </w:rPr>
        <w:t>2330.16</w:t>
      </w:r>
      <w:r>
        <w:rPr>
          <w:rFonts w:hint="eastAsia" w:ascii="仿宋_GB2312" w:eastAsia="仿宋_GB2312" w:cs="黑体"/>
          <w:color w:val="auto"/>
          <w:sz w:val="30"/>
          <w:szCs w:val="30"/>
        </w:rPr>
        <w:t>万元，占</w:t>
      </w:r>
      <w:r>
        <w:rPr>
          <w:rFonts w:hint="eastAsia" w:ascii="仿宋_GB2312" w:eastAsia="仿宋_GB2312" w:cs="黑体"/>
          <w:color w:val="auto"/>
          <w:sz w:val="30"/>
          <w:szCs w:val="30"/>
          <w:lang w:val="en-US" w:eastAsia="zh-CN"/>
        </w:rPr>
        <w:t>71.3</w:t>
      </w:r>
      <w:r>
        <w:rPr>
          <w:rFonts w:ascii="仿宋_GB2312" w:eastAsia="仿宋_GB2312" w:cs="黑体"/>
          <w:color w:val="auto"/>
          <w:sz w:val="30"/>
          <w:szCs w:val="30"/>
        </w:rPr>
        <w:t>%</w:t>
      </w:r>
      <w:r>
        <w:rPr>
          <w:rFonts w:hint="eastAsia" w:ascii="仿宋_GB2312" w:eastAsia="仿宋_GB2312" w:cs="黑体"/>
          <w:color w:val="auto"/>
          <w:sz w:val="30"/>
          <w:szCs w:val="30"/>
        </w:rPr>
        <w:t>。</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四、关于</w:t>
      </w:r>
      <w:r>
        <w:rPr>
          <w:rFonts w:hint="eastAsia" w:ascii="楷体_GB2312" w:hAnsi="宋体" w:eastAsia="楷体_GB2312" w:cs="黑体"/>
          <w:b/>
          <w:color w:val="auto"/>
          <w:sz w:val="30"/>
          <w:szCs w:val="30"/>
        </w:rPr>
        <w:t>庄河市人民政府荷花山镇人民政府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年度财政拨款收入支出总体情况说明</w:t>
      </w:r>
    </w:p>
    <w:p>
      <w:pPr>
        <w:outlineLvl w:val="0"/>
        <w:rPr>
          <w:rFonts w:hint="eastAsia" w:ascii="楷体_GB2312" w:eastAsia="楷体_GB2312" w:cs="黑体"/>
          <w:b/>
          <w:color w:val="auto"/>
          <w:sz w:val="30"/>
          <w:szCs w:val="30"/>
        </w:rPr>
      </w:pPr>
      <w:r>
        <w:rPr>
          <w:rFonts w:hint="eastAsia" w:ascii="仿宋_GB2312" w:hAnsi="宋体" w:eastAsia="仿宋_GB2312" w:cs="黑体"/>
          <w:color w:val="auto"/>
          <w:sz w:val="30"/>
          <w:szCs w:val="30"/>
        </w:rPr>
        <w:t>庄河市荷花山镇人民政府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年度财政拨款收支总决算</w:t>
      </w:r>
      <w:r>
        <w:rPr>
          <w:rFonts w:hint="eastAsia" w:eastAsia="仿宋_GB2312"/>
          <w:color w:val="auto"/>
          <w:sz w:val="30"/>
          <w:szCs w:val="30"/>
          <w:lang w:val="en-US" w:eastAsia="zh-CN"/>
        </w:rPr>
        <w:t>3269.58</w:t>
      </w:r>
      <w:r>
        <w:rPr>
          <w:rFonts w:hint="eastAsia" w:ascii="仿宋_GB2312" w:eastAsia="仿宋_GB2312" w:cs="黑体"/>
          <w:color w:val="auto"/>
          <w:sz w:val="30"/>
          <w:szCs w:val="30"/>
        </w:rPr>
        <w:t>万元。与</w:t>
      </w:r>
      <w:r>
        <w:rPr>
          <w:rFonts w:hint="eastAsia" w:ascii="仿宋_GB2312" w:eastAsia="仿宋_GB2312" w:cs="黑体"/>
          <w:color w:val="auto"/>
          <w:sz w:val="30"/>
          <w:szCs w:val="30"/>
          <w:lang w:eastAsia="zh-CN"/>
        </w:rPr>
        <w:t>2019</w:t>
      </w:r>
      <w:r>
        <w:rPr>
          <w:rFonts w:hint="eastAsia" w:ascii="仿宋_GB2312" w:eastAsia="仿宋_GB2312" w:cs="黑体"/>
          <w:color w:val="auto"/>
          <w:sz w:val="30"/>
          <w:szCs w:val="30"/>
        </w:rPr>
        <w:t>年度相比，财政拨款收、支总计各减少</w:t>
      </w:r>
      <w:r>
        <w:rPr>
          <w:rFonts w:hint="eastAsia" w:eastAsia="仿宋_GB2312"/>
          <w:color w:val="auto"/>
          <w:sz w:val="30"/>
          <w:szCs w:val="30"/>
          <w:lang w:val="en-US" w:eastAsia="zh-CN"/>
        </w:rPr>
        <w:t>213.8</w:t>
      </w:r>
      <w:r>
        <w:rPr>
          <w:rFonts w:hint="eastAsia" w:ascii="仿宋_GB2312" w:eastAsia="仿宋_GB2312" w:cs="黑体"/>
          <w:color w:val="auto"/>
          <w:sz w:val="30"/>
          <w:szCs w:val="30"/>
        </w:rPr>
        <w:t>万元，下降</w:t>
      </w:r>
      <w:r>
        <w:rPr>
          <w:rFonts w:hint="eastAsia" w:ascii="仿宋_GB2312" w:eastAsia="仿宋_GB2312" w:cs="黑体"/>
          <w:color w:val="auto"/>
          <w:sz w:val="30"/>
          <w:szCs w:val="30"/>
          <w:lang w:val="en-US" w:eastAsia="zh-CN"/>
        </w:rPr>
        <w:t>6.1</w:t>
      </w:r>
      <w:r>
        <w:rPr>
          <w:rFonts w:ascii="仿宋_GB2312" w:eastAsia="仿宋_GB2312" w:cs="黑体"/>
          <w:color w:val="auto"/>
          <w:sz w:val="30"/>
          <w:szCs w:val="30"/>
        </w:rPr>
        <w:t>%</w:t>
      </w:r>
      <w:r>
        <w:rPr>
          <w:rFonts w:hint="eastAsia" w:ascii="仿宋_GB2312" w:eastAsia="仿宋_GB2312" w:cs="黑体"/>
          <w:color w:val="auto"/>
          <w:sz w:val="30"/>
          <w:szCs w:val="30"/>
        </w:rPr>
        <w:t>。主要原因：</w:t>
      </w:r>
      <w:r>
        <w:rPr>
          <w:rFonts w:hint="eastAsia" w:eastAsia="仿宋_GB2312"/>
          <w:color w:val="auto"/>
          <w:sz w:val="30"/>
          <w:szCs w:val="30"/>
          <w:lang w:val="en-US" w:eastAsia="zh-CN"/>
        </w:rPr>
        <w:t>税收减少</w:t>
      </w:r>
      <w:r>
        <w:rPr>
          <w:rFonts w:hint="eastAsia"/>
          <w:color w:val="auto"/>
          <w:sz w:val="30"/>
          <w:szCs w:val="30"/>
        </w:rPr>
        <w:t>，收入与支出减少</w:t>
      </w:r>
      <w:r>
        <w:rPr>
          <w:rFonts w:hint="eastAsia" w:ascii="仿宋_GB2312" w:eastAsia="仿宋_GB2312" w:cs="黑体"/>
          <w:color w:val="auto"/>
          <w:sz w:val="30"/>
          <w:szCs w:val="30"/>
        </w:rPr>
        <w:t>。</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五、关于</w:t>
      </w:r>
      <w:r>
        <w:rPr>
          <w:rFonts w:hint="eastAsia" w:ascii="楷体_GB2312" w:hAnsi="宋体" w:eastAsia="楷体_GB2312" w:cs="黑体"/>
          <w:b/>
          <w:color w:val="auto"/>
          <w:sz w:val="30"/>
          <w:szCs w:val="30"/>
        </w:rPr>
        <w:t>庄河市荷花山镇人民政府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年度一般公共预算财政拨款支出决算情况说明</w:t>
      </w:r>
    </w:p>
    <w:p>
      <w:pPr>
        <w:outlineLvl w:val="0"/>
        <w:rPr>
          <w:rFonts w:ascii="楷体_GB2312" w:hAnsi="宋体" w:eastAsia="楷体_GB2312" w:cs="黑体"/>
          <w:b/>
          <w:color w:val="auto"/>
          <w:sz w:val="30"/>
          <w:szCs w:val="30"/>
        </w:rPr>
      </w:pPr>
      <w:r>
        <w:rPr>
          <w:rFonts w:hint="eastAsia" w:ascii="楷体_GB2312" w:hAnsi="宋体" w:eastAsia="楷体_GB2312" w:cs="黑体"/>
          <w:b/>
          <w:color w:val="auto"/>
          <w:sz w:val="30"/>
          <w:szCs w:val="30"/>
        </w:rPr>
        <w:t>（一）一般公共预算财政拨款支出决算总体情况</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庄河市荷花山镇人民政府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年度一般公共预算财政拨款支出</w:t>
      </w:r>
      <w:r>
        <w:rPr>
          <w:rFonts w:hint="eastAsia" w:ascii="仿宋_GB2312" w:eastAsia="仿宋_GB2312" w:cs="黑体"/>
          <w:color w:val="auto"/>
          <w:sz w:val="30"/>
          <w:szCs w:val="30"/>
          <w:lang w:val="en-US" w:eastAsia="zh-CN"/>
        </w:rPr>
        <w:t>3269.58</w:t>
      </w:r>
      <w:r>
        <w:rPr>
          <w:rFonts w:hint="eastAsia" w:ascii="仿宋_GB2312" w:eastAsia="仿宋_GB2312" w:cs="黑体"/>
          <w:color w:val="auto"/>
          <w:sz w:val="30"/>
          <w:szCs w:val="30"/>
        </w:rPr>
        <w:t>万元，占本年支出合计的</w:t>
      </w:r>
      <w:r>
        <w:rPr>
          <w:rFonts w:hint="eastAsia" w:ascii="仿宋_GB2312" w:eastAsia="仿宋_GB2312" w:cs="黑体"/>
          <w:color w:val="auto"/>
          <w:sz w:val="30"/>
          <w:szCs w:val="30"/>
          <w:lang w:val="en-US" w:eastAsia="zh-CN"/>
        </w:rPr>
        <w:t>100</w:t>
      </w:r>
      <w:r>
        <w:rPr>
          <w:rFonts w:ascii="仿宋_GB2312" w:eastAsia="仿宋_GB2312" w:cs="黑体"/>
          <w:color w:val="auto"/>
          <w:sz w:val="30"/>
          <w:szCs w:val="30"/>
        </w:rPr>
        <w:t>%</w:t>
      </w:r>
      <w:r>
        <w:rPr>
          <w:rFonts w:hint="eastAsia" w:ascii="仿宋_GB2312" w:eastAsia="仿宋_GB2312" w:cs="黑体"/>
          <w:color w:val="auto"/>
          <w:sz w:val="30"/>
          <w:szCs w:val="30"/>
        </w:rPr>
        <w:t>。与</w:t>
      </w:r>
      <w:r>
        <w:rPr>
          <w:rFonts w:hint="eastAsia" w:ascii="仿宋_GB2312" w:eastAsia="仿宋_GB2312" w:cs="黑体"/>
          <w:color w:val="auto"/>
          <w:sz w:val="30"/>
          <w:szCs w:val="30"/>
          <w:lang w:eastAsia="zh-CN"/>
        </w:rPr>
        <w:t>2019</w:t>
      </w:r>
      <w:r>
        <w:rPr>
          <w:rFonts w:hint="eastAsia" w:ascii="仿宋_GB2312" w:eastAsia="仿宋_GB2312" w:cs="黑体"/>
          <w:color w:val="auto"/>
          <w:sz w:val="30"/>
          <w:szCs w:val="30"/>
        </w:rPr>
        <w:t>年度相比，一般公共预算财政拨款支出减少</w:t>
      </w:r>
      <w:r>
        <w:rPr>
          <w:rFonts w:hint="eastAsia" w:ascii="仿宋_GB2312" w:eastAsia="仿宋_GB2312" w:cs="黑体"/>
          <w:color w:val="auto"/>
          <w:sz w:val="30"/>
          <w:szCs w:val="30"/>
          <w:lang w:val="en-US" w:eastAsia="zh-CN"/>
        </w:rPr>
        <w:t>149.8</w:t>
      </w:r>
      <w:r>
        <w:rPr>
          <w:rFonts w:hint="eastAsia" w:ascii="仿宋_GB2312" w:eastAsia="仿宋_GB2312" w:cs="黑体"/>
          <w:color w:val="auto"/>
          <w:sz w:val="30"/>
          <w:szCs w:val="30"/>
        </w:rPr>
        <w:t>万元，下降</w:t>
      </w:r>
      <w:r>
        <w:rPr>
          <w:rFonts w:hint="eastAsia" w:ascii="仿宋_GB2312" w:eastAsia="仿宋_GB2312" w:cs="黑体"/>
          <w:color w:val="auto"/>
          <w:sz w:val="30"/>
          <w:szCs w:val="30"/>
          <w:lang w:val="en-US" w:eastAsia="zh-CN"/>
        </w:rPr>
        <w:t>4.4</w:t>
      </w:r>
      <w:r>
        <w:rPr>
          <w:rFonts w:ascii="仿宋_GB2312" w:eastAsia="仿宋_GB2312" w:cs="黑体"/>
          <w:color w:val="auto"/>
          <w:sz w:val="30"/>
          <w:szCs w:val="30"/>
        </w:rPr>
        <w:t>%</w:t>
      </w:r>
      <w:r>
        <w:rPr>
          <w:rFonts w:hint="eastAsia" w:ascii="仿宋_GB2312" w:eastAsia="仿宋_GB2312" w:cs="黑体"/>
          <w:color w:val="auto"/>
          <w:sz w:val="30"/>
          <w:szCs w:val="30"/>
        </w:rPr>
        <w:t>。主要原因：</w:t>
      </w:r>
      <w:r>
        <w:rPr>
          <w:rFonts w:hint="eastAsia" w:eastAsia="仿宋_GB2312"/>
          <w:color w:val="auto"/>
          <w:sz w:val="30"/>
          <w:szCs w:val="30"/>
          <w:lang w:val="en-US" w:eastAsia="zh-CN"/>
        </w:rPr>
        <w:t>税收减少</w:t>
      </w:r>
      <w:r>
        <w:rPr>
          <w:rFonts w:hint="eastAsia"/>
          <w:color w:val="auto"/>
          <w:sz w:val="30"/>
          <w:szCs w:val="30"/>
        </w:rPr>
        <w:t>，收入与支出减少</w:t>
      </w:r>
      <w:r>
        <w:rPr>
          <w:rFonts w:hint="eastAsia" w:ascii="仿宋_GB2312" w:eastAsia="仿宋_GB2312" w:cs="黑体"/>
          <w:color w:val="auto"/>
          <w:sz w:val="30"/>
          <w:szCs w:val="30"/>
        </w:rPr>
        <w:t>。</w:t>
      </w:r>
    </w:p>
    <w:p>
      <w:pPr>
        <w:outlineLvl w:val="0"/>
        <w:rPr>
          <w:rFonts w:ascii="楷体_GB2312" w:hAnsi="宋体" w:eastAsia="楷体_GB2312" w:cs="黑体"/>
          <w:b/>
          <w:color w:val="auto"/>
          <w:sz w:val="30"/>
          <w:szCs w:val="30"/>
          <w:highlight w:val="none"/>
        </w:rPr>
      </w:pPr>
      <w:r>
        <w:rPr>
          <w:rFonts w:hint="eastAsia" w:ascii="楷体_GB2312" w:hAnsi="宋体" w:eastAsia="楷体_GB2312" w:cs="黑体"/>
          <w:b/>
          <w:color w:val="auto"/>
          <w:sz w:val="30"/>
          <w:szCs w:val="30"/>
          <w:highlight w:val="none"/>
        </w:rPr>
        <w:t>（二）一般公共预算财政拨款支出决算结构情况</w:t>
      </w:r>
    </w:p>
    <w:p>
      <w:pPr>
        <w:ind w:firstLine="600" w:firstLineChars="200"/>
        <w:rPr>
          <w:rFonts w:ascii="仿宋_GB2312" w:hAnsi="宋体" w:eastAsia="仿宋_GB2312" w:cs="黑体"/>
          <w:color w:val="auto"/>
          <w:sz w:val="30"/>
          <w:szCs w:val="30"/>
          <w:highlight w:val="none"/>
        </w:rPr>
      </w:pPr>
      <w:r>
        <w:rPr>
          <w:rFonts w:hint="eastAsia" w:ascii="仿宋_GB2312" w:hAnsi="宋体" w:eastAsia="仿宋_GB2312" w:cs="黑体"/>
          <w:color w:val="auto"/>
          <w:sz w:val="30"/>
          <w:szCs w:val="30"/>
          <w:highlight w:val="none"/>
        </w:rPr>
        <w:t>庄河市荷花山镇人民政府</w:t>
      </w:r>
      <w:r>
        <w:rPr>
          <w:rFonts w:hint="eastAsia" w:ascii="仿宋_GB2312" w:eastAsia="仿宋_GB2312" w:cs="黑体"/>
          <w:color w:val="auto"/>
          <w:sz w:val="30"/>
          <w:szCs w:val="30"/>
          <w:highlight w:val="none"/>
          <w:lang w:eastAsia="zh-CN"/>
        </w:rPr>
        <w:t>2020</w:t>
      </w:r>
      <w:r>
        <w:rPr>
          <w:rFonts w:hint="eastAsia" w:ascii="仿宋_GB2312" w:eastAsia="仿宋_GB2312" w:cs="黑体"/>
          <w:color w:val="auto"/>
          <w:sz w:val="30"/>
          <w:szCs w:val="30"/>
          <w:highlight w:val="none"/>
        </w:rPr>
        <w:t>年度一般公共预算财政拨款支出</w:t>
      </w:r>
      <w:r>
        <w:rPr>
          <w:rFonts w:hint="eastAsia" w:ascii="仿宋_GB2312" w:eastAsia="仿宋_GB2312" w:cs="黑体"/>
          <w:color w:val="auto"/>
          <w:sz w:val="30"/>
          <w:szCs w:val="30"/>
          <w:highlight w:val="none"/>
          <w:lang w:val="en-US" w:eastAsia="zh-CN"/>
        </w:rPr>
        <w:t>3269.58</w:t>
      </w:r>
      <w:r>
        <w:rPr>
          <w:rFonts w:hint="eastAsia" w:ascii="仿宋_GB2312" w:eastAsia="仿宋_GB2312" w:cs="黑体"/>
          <w:color w:val="auto"/>
          <w:sz w:val="30"/>
          <w:szCs w:val="30"/>
          <w:highlight w:val="none"/>
        </w:rPr>
        <w:t>万元，主要用于以下方面：一般公共服务支出（类）</w:t>
      </w:r>
      <w:r>
        <w:rPr>
          <w:rFonts w:hint="eastAsia" w:ascii="仿宋_GB2312" w:eastAsia="仿宋_GB2312" w:cs="黑体"/>
          <w:color w:val="auto"/>
          <w:sz w:val="30"/>
          <w:szCs w:val="30"/>
          <w:highlight w:val="none"/>
          <w:lang w:val="en-US" w:eastAsia="zh-CN"/>
        </w:rPr>
        <w:t>1281.07</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39.2</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；教育支出（类）</w:t>
      </w:r>
      <w:r>
        <w:rPr>
          <w:rFonts w:hint="eastAsia" w:ascii="仿宋_GB2312" w:eastAsia="仿宋_GB2312" w:cs="黑体"/>
          <w:color w:val="auto"/>
          <w:sz w:val="30"/>
          <w:szCs w:val="30"/>
          <w:highlight w:val="none"/>
          <w:lang w:val="en-US" w:eastAsia="zh-CN"/>
        </w:rPr>
        <w:t>8.73</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0.27</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；文化体育与传媒支出（类）</w:t>
      </w:r>
      <w:r>
        <w:rPr>
          <w:rFonts w:hint="eastAsia" w:ascii="仿宋_GB2312" w:eastAsia="仿宋_GB2312" w:cs="黑体"/>
          <w:color w:val="auto"/>
          <w:sz w:val="30"/>
          <w:szCs w:val="30"/>
          <w:highlight w:val="none"/>
          <w:lang w:val="en-US" w:eastAsia="zh-CN"/>
        </w:rPr>
        <w:t>5</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0.15</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；社会保障和就业支出（类）</w:t>
      </w:r>
      <w:r>
        <w:rPr>
          <w:rFonts w:hint="eastAsia" w:ascii="仿宋_GB2312" w:eastAsia="仿宋_GB2312" w:cs="黑体"/>
          <w:color w:val="auto"/>
          <w:sz w:val="30"/>
          <w:szCs w:val="30"/>
          <w:highlight w:val="none"/>
          <w:lang w:val="en-US" w:eastAsia="zh-CN"/>
        </w:rPr>
        <w:t>375.29</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11.48</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；卫生健康支出（类）</w:t>
      </w:r>
      <w:r>
        <w:rPr>
          <w:rFonts w:hint="eastAsia" w:ascii="仿宋_GB2312" w:eastAsia="仿宋_GB2312" w:cs="黑体"/>
          <w:color w:val="auto"/>
          <w:sz w:val="30"/>
          <w:szCs w:val="30"/>
          <w:highlight w:val="none"/>
          <w:lang w:val="en-US" w:eastAsia="zh-CN"/>
        </w:rPr>
        <w:t>44.64</w:t>
      </w:r>
      <w:r>
        <w:rPr>
          <w:rFonts w:hint="eastAsia" w:ascii="仿宋_GB2312" w:eastAsia="仿宋_GB2312" w:cs="黑体"/>
          <w:color w:val="auto"/>
          <w:sz w:val="30"/>
          <w:szCs w:val="30"/>
          <w:highlight w:val="none"/>
        </w:rPr>
        <w:t>万元，占</w:t>
      </w:r>
      <w:r>
        <w:rPr>
          <w:rFonts w:ascii="仿宋_GB2312" w:eastAsia="仿宋_GB2312" w:cs="黑体"/>
          <w:color w:val="auto"/>
          <w:sz w:val="30"/>
          <w:szCs w:val="30"/>
          <w:highlight w:val="none"/>
        </w:rPr>
        <w:t>1</w:t>
      </w:r>
      <w:r>
        <w:rPr>
          <w:rFonts w:hint="eastAsia" w:ascii="仿宋_GB2312" w:eastAsia="仿宋_GB2312" w:cs="黑体"/>
          <w:color w:val="auto"/>
          <w:sz w:val="30"/>
          <w:szCs w:val="30"/>
          <w:highlight w:val="none"/>
          <w:lang w:val="en-US" w:eastAsia="zh-CN"/>
        </w:rPr>
        <w:t>.37</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；城乡社区支出（类）</w:t>
      </w:r>
      <w:r>
        <w:rPr>
          <w:rFonts w:hint="eastAsia" w:ascii="仿宋_GB2312" w:eastAsia="仿宋_GB2312" w:cs="黑体"/>
          <w:color w:val="auto"/>
          <w:sz w:val="30"/>
          <w:szCs w:val="30"/>
          <w:highlight w:val="none"/>
          <w:lang w:val="en-US" w:eastAsia="zh-CN"/>
        </w:rPr>
        <w:t>170.99</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5.23</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；农林水支出（类）</w:t>
      </w:r>
      <w:r>
        <w:rPr>
          <w:rFonts w:hint="eastAsia" w:ascii="仿宋_GB2312" w:eastAsia="仿宋_GB2312" w:cs="黑体"/>
          <w:color w:val="auto"/>
          <w:sz w:val="30"/>
          <w:szCs w:val="30"/>
          <w:highlight w:val="none"/>
          <w:lang w:val="en-US" w:eastAsia="zh-CN"/>
        </w:rPr>
        <w:t>245.53</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7.51</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；交通运输支出（类）</w:t>
      </w:r>
      <w:r>
        <w:rPr>
          <w:rFonts w:hint="eastAsia" w:ascii="仿宋_GB2312" w:eastAsia="仿宋_GB2312" w:cs="黑体"/>
          <w:color w:val="auto"/>
          <w:sz w:val="30"/>
          <w:szCs w:val="30"/>
          <w:highlight w:val="none"/>
          <w:lang w:val="en-US" w:eastAsia="zh-CN"/>
        </w:rPr>
        <w:t>18.61</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0.57</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；资源勘探信息等支出（类）</w:t>
      </w:r>
      <w:r>
        <w:rPr>
          <w:rFonts w:hint="eastAsia" w:ascii="仿宋_GB2312" w:eastAsia="仿宋_GB2312" w:cs="黑体"/>
          <w:color w:val="auto"/>
          <w:sz w:val="30"/>
          <w:szCs w:val="30"/>
          <w:highlight w:val="none"/>
          <w:lang w:val="en-US" w:eastAsia="zh-CN"/>
        </w:rPr>
        <w:t>866.22</w:t>
      </w:r>
      <w:r>
        <w:rPr>
          <w:rFonts w:hint="eastAsia" w:ascii="仿宋_GB2312" w:eastAsia="仿宋_GB2312" w:cs="黑体"/>
          <w:color w:val="auto"/>
          <w:sz w:val="30"/>
          <w:szCs w:val="30"/>
          <w:highlight w:val="none"/>
        </w:rPr>
        <w:t>万元，占</w:t>
      </w:r>
      <w:r>
        <w:rPr>
          <w:rFonts w:ascii="仿宋_GB2312" w:eastAsia="仿宋_GB2312" w:cs="黑体"/>
          <w:color w:val="auto"/>
          <w:sz w:val="30"/>
          <w:szCs w:val="30"/>
          <w:highlight w:val="none"/>
        </w:rPr>
        <w:t>26.</w:t>
      </w:r>
      <w:r>
        <w:rPr>
          <w:rFonts w:hint="eastAsia" w:ascii="仿宋_GB2312" w:eastAsia="仿宋_GB2312" w:cs="黑体"/>
          <w:color w:val="auto"/>
          <w:sz w:val="30"/>
          <w:szCs w:val="30"/>
          <w:highlight w:val="none"/>
          <w:lang w:val="en-US" w:eastAsia="zh-CN"/>
        </w:rPr>
        <w:t>49</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；住房保障支出（类）</w:t>
      </w:r>
      <w:r>
        <w:rPr>
          <w:rFonts w:hint="eastAsia" w:ascii="仿宋_GB2312" w:eastAsia="仿宋_GB2312" w:cs="黑体"/>
          <w:color w:val="auto"/>
          <w:sz w:val="30"/>
          <w:szCs w:val="30"/>
          <w:highlight w:val="none"/>
          <w:lang w:val="en-US" w:eastAsia="zh-CN"/>
        </w:rPr>
        <w:t>101.75</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3.11</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灾害防治及应急管理支出（类）</w:t>
      </w:r>
      <w:r>
        <w:rPr>
          <w:rFonts w:hint="eastAsia" w:ascii="仿宋_GB2312" w:eastAsia="仿宋_GB2312" w:cs="黑体"/>
          <w:color w:val="auto"/>
          <w:sz w:val="30"/>
          <w:szCs w:val="30"/>
          <w:highlight w:val="none"/>
          <w:lang w:val="en-US" w:eastAsia="zh-CN"/>
        </w:rPr>
        <w:t>151.75</w:t>
      </w:r>
      <w:r>
        <w:rPr>
          <w:rFonts w:hint="eastAsia" w:ascii="仿宋_GB2312" w:eastAsia="仿宋_GB2312" w:cs="黑体"/>
          <w:color w:val="auto"/>
          <w:sz w:val="30"/>
          <w:szCs w:val="30"/>
          <w:highlight w:val="none"/>
        </w:rPr>
        <w:t>万元，占</w:t>
      </w:r>
      <w:r>
        <w:rPr>
          <w:rFonts w:hint="eastAsia" w:ascii="仿宋_GB2312" w:eastAsia="仿宋_GB2312" w:cs="黑体"/>
          <w:color w:val="auto"/>
          <w:sz w:val="30"/>
          <w:szCs w:val="30"/>
          <w:highlight w:val="none"/>
          <w:lang w:val="en-US" w:eastAsia="zh-CN"/>
        </w:rPr>
        <w:t>4.64</w:t>
      </w:r>
      <w:r>
        <w:rPr>
          <w:rFonts w:ascii="仿宋_GB2312" w:eastAsia="仿宋_GB2312" w:cs="黑体"/>
          <w:color w:val="auto"/>
          <w:sz w:val="30"/>
          <w:szCs w:val="30"/>
          <w:highlight w:val="none"/>
        </w:rPr>
        <w:t>%</w:t>
      </w:r>
      <w:r>
        <w:rPr>
          <w:rFonts w:hint="eastAsia" w:ascii="仿宋_GB2312" w:eastAsia="仿宋_GB2312" w:cs="黑体"/>
          <w:color w:val="auto"/>
          <w:sz w:val="30"/>
          <w:szCs w:val="30"/>
          <w:highlight w:val="none"/>
        </w:rPr>
        <w:t>。</w:t>
      </w:r>
    </w:p>
    <w:p>
      <w:pPr>
        <w:outlineLvl w:val="0"/>
        <w:rPr>
          <w:rFonts w:ascii="楷体_GB2312" w:hAnsi="宋体" w:eastAsia="楷体_GB2312" w:cs="黑体"/>
          <w:b/>
          <w:color w:val="auto"/>
          <w:sz w:val="30"/>
          <w:szCs w:val="30"/>
          <w:highlight w:val="none"/>
        </w:rPr>
      </w:pPr>
      <w:r>
        <w:rPr>
          <w:rFonts w:hint="eastAsia" w:ascii="楷体_GB2312" w:hAnsi="宋体" w:eastAsia="楷体_GB2312" w:cs="黑体"/>
          <w:b/>
          <w:color w:val="auto"/>
          <w:sz w:val="30"/>
          <w:szCs w:val="30"/>
          <w:highlight w:val="none"/>
        </w:rPr>
        <w:t>（三）一般公共预算财政拨款支出决算具体情况</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highlight w:val="none"/>
        </w:rPr>
        <w:t>庄河市人民政府荷花山镇人民政府</w:t>
      </w:r>
      <w:r>
        <w:rPr>
          <w:rFonts w:hint="eastAsia" w:ascii="仿宋_GB2312" w:eastAsia="仿宋_GB2312" w:cs="黑体"/>
          <w:color w:val="auto"/>
          <w:sz w:val="30"/>
          <w:szCs w:val="30"/>
          <w:highlight w:val="none"/>
          <w:lang w:eastAsia="zh-CN"/>
        </w:rPr>
        <w:t>2020</w:t>
      </w:r>
      <w:r>
        <w:rPr>
          <w:rFonts w:hint="eastAsia" w:ascii="仿宋_GB2312" w:eastAsia="仿宋_GB2312" w:cs="黑体"/>
          <w:color w:val="auto"/>
          <w:sz w:val="30"/>
          <w:szCs w:val="30"/>
          <w:highlight w:val="none"/>
        </w:rPr>
        <w:t>年度一般公共预算财政拨款支出年初预算为</w:t>
      </w:r>
      <w:r>
        <w:rPr>
          <w:rFonts w:hint="eastAsia" w:ascii="仿宋_GB2312" w:eastAsia="仿宋_GB2312" w:cs="黑体"/>
          <w:color w:val="auto"/>
          <w:sz w:val="30"/>
          <w:szCs w:val="30"/>
          <w:highlight w:val="none"/>
          <w:lang w:val="en-US" w:eastAsia="zh-CN"/>
        </w:rPr>
        <w:t>2906.3</w:t>
      </w:r>
      <w:r>
        <w:rPr>
          <w:rFonts w:hint="eastAsia" w:ascii="仿宋_GB2312" w:eastAsia="仿宋_GB2312" w:cs="黑体"/>
          <w:color w:val="auto"/>
          <w:sz w:val="30"/>
          <w:szCs w:val="30"/>
          <w:highlight w:val="none"/>
        </w:rPr>
        <w:t>万元，支出</w:t>
      </w:r>
      <w:r>
        <w:rPr>
          <w:rFonts w:hint="eastAsia" w:ascii="仿宋_GB2312" w:eastAsia="仿宋_GB2312" w:cs="黑体"/>
          <w:color w:val="auto"/>
          <w:sz w:val="30"/>
          <w:szCs w:val="30"/>
        </w:rPr>
        <w:t>决算为</w:t>
      </w:r>
      <w:r>
        <w:rPr>
          <w:rFonts w:hint="eastAsia" w:ascii="仿宋_GB2312" w:eastAsia="仿宋_GB2312" w:cs="黑体"/>
          <w:color w:val="auto"/>
          <w:sz w:val="30"/>
          <w:szCs w:val="30"/>
          <w:lang w:val="en-US" w:eastAsia="zh-CN"/>
        </w:rPr>
        <w:t>3269.58</w:t>
      </w:r>
      <w:r>
        <w:rPr>
          <w:rFonts w:hint="eastAsia" w:ascii="仿宋_GB2312" w:eastAsia="仿宋_GB2312" w:cs="黑体"/>
          <w:color w:val="auto"/>
          <w:sz w:val="30"/>
          <w:szCs w:val="30"/>
        </w:rPr>
        <w:t>万元，完成年初预算的</w:t>
      </w:r>
      <w:r>
        <w:rPr>
          <w:rFonts w:hint="eastAsia" w:ascii="仿宋_GB2312" w:eastAsia="仿宋_GB2312" w:cs="黑体"/>
          <w:color w:val="auto"/>
          <w:sz w:val="30"/>
          <w:szCs w:val="30"/>
          <w:lang w:val="en-US" w:eastAsia="zh-CN"/>
        </w:rPr>
        <w:t>112.5</w:t>
      </w:r>
      <w:r>
        <w:rPr>
          <w:rFonts w:ascii="仿宋_GB2312" w:eastAsia="仿宋_GB2312" w:cs="黑体"/>
          <w:color w:val="auto"/>
          <w:sz w:val="30"/>
          <w:szCs w:val="30"/>
        </w:rPr>
        <w:t>%</w:t>
      </w:r>
      <w:r>
        <w:rPr>
          <w:rFonts w:hint="eastAsia" w:ascii="仿宋_GB2312" w:eastAsia="仿宋_GB2312" w:cs="黑体"/>
          <w:color w:val="auto"/>
          <w:sz w:val="30"/>
          <w:szCs w:val="30"/>
        </w:rPr>
        <w:t>。决算数大于预算数的主要原因：部分争取上级项目支出不在年初预算中。其中：</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1</w:t>
      </w:r>
      <w:r>
        <w:rPr>
          <w:rFonts w:hint="eastAsia" w:ascii="仿宋_GB2312" w:eastAsia="仿宋_GB2312" w:cs="黑体"/>
          <w:color w:val="auto"/>
          <w:sz w:val="30"/>
          <w:szCs w:val="30"/>
        </w:rPr>
        <w:t>、一般公共服务支出（类）</w:t>
      </w:r>
      <w:r>
        <w:rPr>
          <w:rFonts w:ascii="仿宋_GB2312" w:eastAsia="仿宋_GB2312" w:cs="黑体"/>
          <w:color w:val="auto"/>
          <w:sz w:val="30"/>
          <w:szCs w:val="30"/>
        </w:rPr>
        <w:t xml:space="preserve">  </w:t>
      </w:r>
      <w:r>
        <w:rPr>
          <w:rFonts w:hint="eastAsia" w:ascii="仿宋_GB2312" w:eastAsia="仿宋_GB2312" w:cs="黑体"/>
          <w:color w:val="auto"/>
          <w:sz w:val="30"/>
          <w:szCs w:val="30"/>
        </w:rPr>
        <w:t>政府办公厅</w:t>
      </w:r>
      <w:r>
        <w:rPr>
          <w:rFonts w:ascii="仿宋_GB2312" w:eastAsia="仿宋_GB2312" w:cs="黑体"/>
          <w:color w:val="auto"/>
          <w:sz w:val="30"/>
          <w:szCs w:val="30"/>
        </w:rPr>
        <w:t>(</w:t>
      </w:r>
      <w:r>
        <w:rPr>
          <w:rFonts w:hint="eastAsia" w:ascii="仿宋_GB2312" w:eastAsia="仿宋_GB2312" w:cs="黑体"/>
          <w:color w:val="auto"/>
          <w:sz w:val="30"/>
          <w:szCs w:val="30"/>
        </w:rPr>
        <w:t>室</w:t>
      </w:r>
      <w:r>
        <w:rPr>
          <w:rFonts w:ascii="仿宋_GB2312" w:eastAsia="仿宋_GB2312" w:cs="黑体"/>
          <w:color w:val="auto"/>
          <w:sz w:val="30"/>
          <w:szCs w:val="30"/>
        </w:rPr>
        <w:t>)</w:t>
      </w:r>
      <w:r>
        <w:rPr>
          <w:rFonts w:hint="eastAsia" w:ascii="仿宋_GB2312" w:eastAsia="仿宋_GB2312" w:cs="黑体"/>
          <w:color w:val="auto"/>
          <w:sz w:val="30"/>
          <w:szCs w:val="30"/>
        </w:rPr>
        <w:t>及相关机构事务（款）行政运行（项）。年初预算为</w:t>
      </w:r>
      <w:r>
        <w:rPr>
          <w:rFonts w:hint="eastAsia" w:ascii="仿宋_GB2312" w:eastAsia="仿宋_GB2312" w:cs="黑体"/>
          <w:color w:val="auto"/>
          <w:sz w:val="30"/>
          <w:szCs w:val="30"/>
          <w:lang w:val="en-US" w:eastAsia="zh-CN"/>
        </w:rPr>
        <w:t>401.7</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522.92</w:t>
      </w:r>
      <w:r>
        <w:rPr>
          <w:rFonts w:hint="eastAsia" w:ascii="仿宋_GB2312" w:eastAsia="仿宋_GB2312" w:cs="黑体"/>
          <w:color w:val="auto"/>
          <w:sz w:val="30"/>
          <w:szCs w:val="30"/>
        </w:rPr>
        <w:t>万元。决算数大于预算数的主要原因：人员变动及绩效工资发放。</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w:t>
      </w:r>
      <w:r>
        <w:rPr>
          <w:rFonts w:hint="eastAsia" w:ascii="仿宋_GB2312" w:eastAsia="仿宋_GB2312" w:cs="黑体"/>
          <w:color w:val="auto"/>
          <w:sz w:val="30"/>
          <w:szCs w:val="30"/>
        </w:rPr>
        <w:t>、一般公共服务支出（类）</w:t>
      </w:r>
      <w:r>
        <w:rPr>
          <w:rFonts w:ascii="仿宋_GB2312" w:eastAsia="仿宋_GB2312" w:cs="黑体"/>
          <w:color w:val="auto"/>
          <w:sz w:val="30"/>
          <w:szCs w:val="30"/>
        </w:rPr>
        <w:t xml:space="preserve">  </w:t>
      </w:r>
      <w:r>
        <w:rPr>
          <w:rFonts w:hint="eastAsia" w:ascii="仿宋_GB2312" w:eastAsia="仿宋_GB2312" w:cs="黑体"/>
          <w:color w:val="auto"/>
          <w:sz w:val="30"/>
          <w:szCs w:val="30"/>
        </w:rPr>
        <w:t>政府办公厅</w:t>
      </w:r>
      <w:r>
        <w:rPr>
          <w:rFonts w:ascii="仿宋_GB2312" w:eastAsia="仿宋_GB2312" w:cs="黑体"/>
          <w:color w:val="auto"/>
          <w:sz w:val="30"/>
          <w:szCs w:val="30"/>
        </w:rPr>
        <w:t>(</w:t>
      </w:r>
      <w:r>
        <w:rPr>
          <w:rFonts w:hint="eastAsia" w:ascii="仿宋_GB2312" w:eastAsia="仿宋_GB2312" w:cs="黑体"/>
          <w:color w:val="auto"/>
          <w:sz w:val="30"/>
          <w:szCs w:val="30"/>
        </w:rPr>
        <w:t>室</w:t>
      </w:r>
      <w:r>
        <w:rPr>
          <w:rFonts w:ascii="仿宋_GB2312" w:eastAsia="仿宋_GB2312" w:cs="黑体"/>
          <w:color w:val="auto"/>
          <w:sz w:val="30"/>
          <w:szCs w:val="30"/>
        </w:rPr>
        <w:t>)</w:t>
      </w:r>
      <w:r>
        <w:rPr>
          <w:rFonts w:hint="eastAsia" w:ascii="仿宋_GB2312" w:eastAsia="仿宋_GB2312" w:cs="黑体"/>
          <w:color w:val="auto"/>
          <w:sz w:val="30"/>
          <w:szCs w:val="30"/>
        </w:rPr>
        <w:t>及相关机构事务（款）一般公共管理事务（项）。年初预算为</w:t>
      </w:r>
      <w:r>
        <w:rPr>
          <w:rFonts w:hint="eastAsia" w:ascii="仿宋_GB2312" w:eastAsia="仿宋_GB2312" w:cs="黑体"/>
          <w:color w:val="auto"/>
          <w:sz w:val="30"/>
          <w:szCs w:val="30"/>
          <w:lang w:val="en-US" w:eastAsia="zh-CN"/>
        </w:rPr>
        <w:t>392.6</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755.83</w:t>
      </w:r>
      <w:r>
        <w:rPr>
          <w:rFonts w:hint="eastAsia" w:ascii="仿宋_GB2312" w:eastAsia="仿宋_GB2312" w:cs="黑体"/>
          <w:color w:val="auto"/>
          <w:sz w:val="30"/>
          <w:szCs w:val="30"/>
        </w:rPr>
        <w:t>万元。决算数大于预算数的主要原因：劳务费增加。</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3</w:t>
      </w:r>
      <w:r>
        <w:rPr>
          <w:rFonts w:hint="eastAsia" w:ascii="仿宋_GB2312" w:eastAsia="仿宋_GB2312" w:cs="黑体"/>
          <w:color w:val="auto"/>
          <w:sz w:val="30"/>
          <w:szCs w:val="30"/>
        </w:rPr>
        <w:t>、一般公共服务支出（类）党委办公厅（室）及相关机构事务（款）行政运行（项）。年初预算为</w:t>
      </w:r>
      <w:r>
        <w:rPr>
          <w:rFonts w:hint="eastAsia" w:ascii="仿宋_GB2312" w:eastAsia="仿宋_GB2312" w:cs="黑体"/>
          <w:color w:val="auto"/>
          <w:sz w:val="30"/>
          <w:szCs w:val="30"/>
          <w:lang w:val="en-US" w:eastAsia="zh-CN"/>
        </w:rPr>
        <w:t>13.5</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2.32</w:t>
      </w:r>
      <w:r>
        <w:rPr>
          <w:rFonts w:hint="eastAsia" w:ascii="仿宋_GB2312" w:eastAsia="仿宋_GB2312" w:cs="黑体"/>
          <w:color w:val="auto"/>
          <w:sz w:val="30"/>
          <w:szCs w:val="30"/>
        </w:rPr>
        <w:t>万元。决算数小于预算数的主要原因：人员变动。</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4</w:t>
      </w:r>
      <w:r>
        <w:rPr>
          <w:rFonts w:hint="eastAsia" w:ascii="仿宋_GB2312" w:eastAsia="仿宋_GB2312" w:cs="黑体"/>
          <w:color w:val="auto"/>
          <w:sz w:val="30"/>
          <w:szCs w:val="30"/>
        </w:rPr>
        <w:t>、教育支出（类）普通教育（款）初中教育（项）。年初预算为</w:t>
      </w:r>
      <w:r>
        <w:rPr>
          <w:rFonts w:hint="eastAsia" w:ascii="仿宋_GB2312" w:eastAsia="仿宋_GB2312" w:cs="黑体"/>
          <w:color w:val="auto"/>
          <w:sz w:val="30"/>
          <w:szCs w:val="30"/>
          <w:lang w:val="en-US" w:eastAsia="zh-CN"/>
        </w:rPr>
        <w:t>71</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万元。决算数小于预算数的主要原因：学校申请补助减少。</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5</w:t>
      </w:r>
      <w:r>
        <w:rPr>
          <w:rFonts w:hint="eastAsia" w:ascii="仿宋_GB2312" w:eastAsia="仿宋_GB2312" w:cs="黑体"/>
          <w:color w:val="auto"/>
          <w:sz w:val="30"/>
          <w:szCs w:val="30"/>
        </w:rPr>
        <w:t>、教育支出（类）</w:t>
      </w:r>
      <w:r>
        <w:rPr>
          <w:rFonts w:hint="eastAsia" w:ascii="仿宋_GB2312" w:eastAsia="仿宋_GB2312" w:cs="黑体"/>
          <w:color w:val="auto"/>
          <w:sz w:val="30"/>
          <w:szCs w:val="30"/>
          <w:lang w:val="en-US" w:eastAsia="zh-CN"/>
        </w:rPr>
        <w:t>其他教育支出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其他教育支出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8.73</w:t>
      </w:r>
      <w:r>
        <w:rPr>
          <w:rFonts w:hint="eastAsia" w:ascii="仿宋_GB2312" w:eastAsia="仿宋_GB2312" w:cs="黑体"/>
          <w:color w:val="auto"/>
          <w:sz w:val="30"/>
          <w:szCs w:val="30"/>
        </w:rPr>
        <w:t>万元。决算数小于预算数的主要原因：学校申请补助减少。</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6</w:t>
      </w:r>
      <w:r>
        <w:rPr>
          <w:rFonts w:hint="eastAsia" w:ascii="仿宋_GB2312" w:eastAsia="仿宋_GB2312" w:cs="黑体"/>
          <w:color w:val="auto"/>
          <w:sz w:val="30"/>
          <w:szCs w:val="30"/>
        </w:rPr>
        <w:t>、文化体育与传媒支出（类）文化与旅游（款）</w:t>
      </w:r>
      <w:r>
        <w:rPr>
          <w:rFonts w:ascii="仿宋_GB2312" w:eastAsia="仿宋_GB2312" w:cs="黑体"/>
          <w:color w:val="auto"/>
          <w:sz w:val="30"/>
          <w:szCs w:val="30"/>
        </w:rPr>
        <w:t xml:space="preserve"> </w:t>
      </w:r>
      <w:r>
        <w:rPr>
          <w:rFonts w:hint="eastAsia" w:ascii="仿宋_GB2312" w:eastAsia="仿宋_GB2312" w:cs="黑体"/>
          <w:color w:val="auto"/>
          <w:sz w:val="30"/>
          <w:szCs w:val="30"/>
        </w:rPr>
        <w:t>图书馆（项）。年初预算为</w:t>
      </w:r>
      <w:r>
        <w:rPr>
          <w:rFonts w:ascii="仿宋_GB2312" w:eastAsia="仿宋_GB2312" w:cs="黑体"/>
          <w:color w:val="auto"/>
          <w:sz w:val="30"/>
          <w:szCs w:val="30"/>
        </w:rPr>
        <w:t>0</w:t>
      </w:r>
      <w:r>
        <w:rPr>
          <w:rFonts w:hint="eastAsia" w:ascii="仿宋_GB2312" w:eastAsia="仿宋_GB2312" w:cs="黑体"/>
          <w:color w:val="auto"/>
          <w:sz w:val="30"/>
          <w:szCs w:val="30"/>
        </w:rPr>
        <w:t>万元，支出决算为</w:t>
      </w:r>
      <w:r>
        <w:rPr>
          <w:rFonts w:ascii="仿宋_GB2312" w:eastAsia="仿宋_GB2312" w:cs="黑体"/>
          <w:color w:val="auto"/>
          <w:sz w:val="30"/>
          <w:szCs w:val="30"/>
        </w:rPr>
        <w:t>5</w:t>
      </w:r>
      <w:r>
        <w:rPr>
          <w:rFonts w:hint="eastAsia" w:ascii="仿宋_GB2312" w:eastAsia="仿宋_GB2312" w:cs="黑体"/>
          <w:color w:val="auto"/>
          <w:sz w:val="30"/>
          <w:szCs w:val="30"/>
        </w:rPr>
        <w:t>万元。决算数大于预算数的主要原因：财政资金安排项目支出。</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7</w:t>
      </w:r>
      <w:r>
        <w:rPr>
          <w:rFonts w:hint="eastAsia" w:ascii="仿宋_GB2312" w:eastAsia="仿宋_GB2312" w:cs="黑体"/>
          <w:color w:val="auto"/>
          <w:sz w:val="30"/>
          <w:szCs w:val="30"/>
        </w:rPr>
        <w:t>、社会保障</w:t>
      </w:r>
      <w:r>
        <w:rPr>
          <w:rFonts w:hint="eastAsia" w:ascii="仿宋_GB2312" w:eastAsia="仿宋_GB2312" w:cs="黑体"/>
          <w:color w:val="auto"/>
          <w:sz w:val="30"/>
          <w:szCs w:val="30"/>
        </w:rPr>
        <w:t>和就业支出（类）</w:t>
      </w:r>
      <w:r>
        <w:rPr>
          <w:rFonts w:hint="eastAsia" w:ascii="仿宋_GB2312" w:eastAsia="仿宋_GB2312" w:cs="黑体"/>
          <w:color w:val="auto"/>
          <w:sz w:val="30"/>
          <w:szCs w:val="30"/>
          <w:lang w:val="en-US" w:eastAsia="zh-CN"/>
        </w:rPr>
        <w:t>行政事业单位养老支出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行政单位离退休</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1.4</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0.96</w:t>
      </w:r>
      <w:r>
        <w:rPr>
          <w:rFonts w:hint="eastAsia" w:ascii="仿宋_GB2312" w:eastAsia="仿宋_GB2312" w:cs="黑体"/>
          <w:color w:val="auto"/>
          <w:sz w:val="30"/>
          <w:szCs w:val="30"/>
        </w:rPr>
        <w:t>万元。决算数小于预算数的主要原因：人员变动。</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8</w:t>
      </w:r>
      <w:r>
        <w:rPr>
          <w:rFonts w:hint="eastAsia" w:ascii="仿宋_GB2312" w:eastAsia="仿宋_GB2312" w:cs="黑体"/>
          <w:color w:val="auto"/>
          <w:sz w:val="30"/>
          <w:szCs w:val="30"/>
        </w:rPr>
        <w:t>、</w:t>
      </w:r>
      <w:r>
        <w:rPr>
          <w:rFonts w:hint="eastAsia" w:ascii="仿宋_GB2312" w:eastAsia="仿宋_GB2312" w:cs="黑体"/>
          <w:color w:val="auto"/>
          <w:sz w:val="30"/>
          <w:szCs w:val="30"/>
        </w:rPr>
        <w:t>社会保障</w:t>
      </w:r>
      <w:r>
        <w:rPr>
          <w:rFonts w:hint="eastAsia" w:ascii="仿宋_GB2312" w:eastAsia="仿宋_GB2312" w:cs="黑体"/>
          <w:color w:val="auto"/>
          <w:sz w:val="30"/>
          <w:szCs w:val="30"/>
        </w:rPr>
        <w:t>和就业支出（类）</w:t>
      </w:r>
      <w:r>
        <w:rPr>
          <w:rFonts w:hint="eastAsia" w:ascii="仿宋_GB2312" w:eastAsia="仿宋_GB2312" w:cs="黑体"/>
          <w:color w:val="auto"/>
          <w:sz w:val="30"/>
          <w:szCs w:val="30"/>
          <w:lang w:val="en-US" w:eastAsia="zh-CN"/>
        </w:rPr>
        <w:t>行政事业单位养老支出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事业单位离退休</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1.72</w:t>
      </w:r>
      <w:r>
        <w:rPr>
          <w:rFonts w:hint="eastAsia" w:ascii="仿宋_GB2312" w:eastAsia="仿宋_GB2312" w:cs="黑体"/>
          <w:color w:val="auto"/>
          <w:sz w:val="30"/>
          <w:szCs w:val="30"/>
        </w:rPr>
        <w:t>万元。决算数小于预算数的主要原因：人员变动。</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9</w:t>
      </w:r>
      <w:r>
        <w:rPr>
          <w:rFonts w:hint="eastAsia" w:ascii="仿宋_GB2312" w:eastAsia="仿宋_GB2312" w:cs="黑体"/>
          <w:color w:val="auto"/>
          <w:sz w:val="30"/>
          <w:szCs w:val="30"/>
        </w:rPr>
        <w:t>、</w:t>
      </w:r>
      <w:r>
        <w:rPr>
          <w:rFonts w:hint="eastAsia" w:ascii="仿宋_GB2312" w:eastAsia="仿宋_GB2312" w:cs="黑体"/>
          <w:color w:val="auto"/>
          <w:sz w:val="30"/>
          <w:szCs w:val="30"/>
        </w:rPr>
        <w:t>社会保障</w:t>
      </w:r>
      <w:r>
        <w:rPr>
          <w:rFonts w:hint="eastAsia" w:ascii="仿宋_GB2312" w:eastAsia="仿宋_GB2312" w:cs="黑体"/>
          <w:color w:val="auto"/>
          <w:sz w:val="30"/>
          <w:szCs w:val="30"/>
        </w:rPr>
        <w:t>和就业支出（类）</w:t>
      </w:r>
      <w:r>
        <w:rPr>
          <w:rFonts w:hint="eastAsia" w:ascii="仿宋_GB2312" w:eastAsia="仿宋_GB2312" w:cs="黑体"/>
          <w:color w:val="auto"/>
          <w:sz w:val="30"/>
          <w:szCs w:val="30"/>
          <w:lang w:val="en-US" w:eastAsia="zh-CN"/>
        </w:rPr>
        <w:t>行政事业单位养老支出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机关事业单位基本养老保险缴费支出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63.8</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132.14</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大于</w:t>
      </w:r>
      <w:r>
        <w:rPr>
          <w:rFonts w:hint="eastAsia" w:ascii="仿宋_GB2312" w:eastAsia="仿宋_GB2312" w:cs="黑体"/>
          <w:color w:val="auto"/>
          <w:sz w:val="30"/>
          <w:szCs w:val="30"/>
        </w:rPr>
        <w:t>预算数的主要原因：人员变动。</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w:t>
      </w:r>
      <w:r>
        <w:rPr>
          <w:rFonts w:hint="eastAsia" w:ascii="仿宋_GB2312" w:eastAsia="仿宋_GB2312" w:cs="黑体"/>
          <w:color w:val="auto"/>
          <w:sz w:val="30"/>
          <w:szCs w:val="30"/>
        </w:rPr>
        <w:t>社会保障</w:t>
      </w:r>
      <w:r>
        <w:rPr>
          <w:rFonts w:hint="eastAsia" w:ascii="仿宋_GB2312" w:eastAsia="仿宋_GB2312" w:cs="黑体"/>
          <w:color w:val="auto"/>
          <w:sz w:val="30"/>
          <w:szCs w:val="30"/>
        </w:rPr>
        <w:t>和就业支出（类）</w:t>
      </w:r>
      <w:r>
        <w:rPr>
          <w:rFonts w:hint="eastAsia" w:ascii="仿宋_GB2312" w:eastAsia="仿宋_GB2312" w:cs="黑体"/>
          <w:color w:val="auto"/>
          <w:sz w:val="30"/>
          <w:szCs w:val="30"/>
          <w:lang w:val="en-US" w:eastAsia="zh-CN"/>
        </w:rPr>
        <w:t>行政事业单位养老支出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机关事业单位职业年金缴费支出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25.5</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50.2</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大于</w:t>
      </w:r>
      <w:r>
        <w:rPr>
          <w:rFonts w:hint="eastAsia" w:ascii="仿宋_GB2312" w:eastAsia="仿宋_GB2312" w:cs="黑体"/>
          <w:color w:val="auto"/>
          <w:sz w:val="30"/>
          <w:szCs w:val="30"/>
        </w:rPr>
        <w:t>预算数的主要原因：人员变动。</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1</w:t>
      </w:r>
      <w:r>
        <w:rPr>
          <w:rFonts w:hint="eastAsia" w:ascii="仿宋_GB2312" w:eastAsia="仿宋_GB2312" w:cs="黑体"/>
          <w:color w:val="auto"/>
          <w:sz w:val="30"/>
          <w:szCs w:val="30"/>
        </w:rPr>
        <w:t>、</w:t>
      </w:r>
      <w:r>
        <w:rPr>
          <w:rFonts w:hint="eastAsia" w:ascii="仿宋_GB2312" w:eastAsia="仿宋_GB2312" w:cs="黑体"/>
          <w:color w:val="auto"/>
          <w:sz w:val="30"/>
          <w:szCs w:val="30"/>
        </w:rPr>
        <w:t>社会保障</w:t>
      </w:r>
      <w:r>
        <w:rPr>
          <w:rFonts w:hint="eastAsia" w:ascii="仿宋_GB2312" w:eastAsia="仿宋_GB2312" w:cs="黑体"/>
          <w:color w:val="auto"/>
          <w:sz w:val="30"/>
          <w:szCs w:val="30"/>
        </w:rPr>
        <w:t>和就业支出（类）</w:t>
      </w:r>
      <w:r>
        <w:rPr>
          <w:rFonts w:hint="eastAsia" w:ascii="仿宋_GB2312" w:eastAsia="仿宋_GB2312" w:cs="黑体"/>
          <w:color w:val="auto"/>
          <w:sz w:val="30"/>
          <w:szCs w:val="30"/>
          <w:lang w:val="en-US" w:eastAsia="zh-CN"/>
        </w:rPr>
        <w:t>行政事业单位养老支出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机关事业单位职业年金缴费支出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25.5</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50.2</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大于</w:t>
      </w:r>
      <w:r>
        <w:rPr>
          <w:rFonts w:hint="eastAsia" w:ascii="仿宋_GB2312" w:eastAsia="仿宋_GB2312" w:cs="黑体"/>
          <w:color w:val="auto"/>
          <w:sz w:val="30"/>
          <w:szCs w:val="30"/>
        </w:rPr>
        <w:t>预算数的主要原因：人员变动。</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2</w:t>
      </w:r>
      <w:r>
        <w:rPr>
          <w:rFonts w:hint="eastAsia" w:ascii="仿宋_GB2312" w:eastAsia="仿宋_GB2312" w:cs="黑体"/>
          <w:color w:val="auto"/>
          <w:sz w:val="30"/>
          <w:szCs w:val="30"/>
        </w:rPr>
        <w:t>、社会保障和就业支出（类）行政事业单位离退休（款）对机关事业单位基本养老保险基金的补助（项）。年初预算为</w:t>
      </w: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88</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167.33</w:t>
      </w:r>
      <w:r>
        <w:rPr>
          <w:rFonts w:hint="eastAsia" w:ascii="仿宋_GB2312" w:eastAsia="仿宋_GB2312" w:cs="黑体"/>
          <w:color w:val="auto"/>
          <w:sz w:val="30"/>
          <w:szCs w:val="30"/>
        </w:rPr>
        <w:t>万元。决算数小于预算数的主要原因：人员变动。</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3</w:t>
      </w:r>
      <w:r>
        <w:rPr>
          <w:rFonts w:hint="eastAsia" w:ascii="仿宋_GB2312" w:eastAsia="仿宋_GB2312" w:cs="黑体"/>
          <w:color w:val="auto"/>
          <w:sz w:val="30"/>
          <w:szCs w:val="30"/>
        </w:rPr>
        <w:t>、社会保障和就业支出（类）抚恤（款）其他优抚指出（项）。年初预算为</w:t>
      </w:r>
      <w:r>
        <w:rPr>
          <w:rFonts w:hint="eastAsia" w:ascii="仿宋_GB2312" w:eastAsia="仿宋_GB2312" w:cs="黑体"/>
          <w:color w:val="auto"/>
          <w:sz w:val="30"/>
          <w:szCs w:val="30"/>
          <w:lang w:val="en-US" w:eastAsia="zh-CN"/>
        </w:rPr>
        <w:t>18.5</w:t>
      </w:r>
      <w:r>
        <w:rPr>
          <w:rFonts w:hint="eastAsia" w:ascii="仿宋_GB2312" w:eastAsia="仿宋_GB2312" w:cs="黑体"/>
          <w:color w:val="auto"/>
          <w:sz w:val="30"/>
          <w:szCs w:val="30"/>
        </w:rPr>
        <w:t>万元，支出决算为</w:t>
      </w:r>
      <w:r>
        <w:rPr>
          <w:rFonts w:ascii="仿宋_GB2312" w:eastAsia="仿宋_GB2312" w:cs="黑体"/>
          <w:color w:val="auto"/>
          <w:sz w:val="30"/>
          <w:szCs w:val="30"/>
        </w:rPr>
        <w:t>18.5</w:t>
      </w:r>
      <w:r>
        <w:rPr>
          <w:rFonts w:hint="eastAsia" w:ascii="仿宋_GB2312" w:eastAsia="仿宋_GB2312" w:cs="黑体"/>
          <w:color w:val="auto"/>
          <w:sz w:val="30"/>
          <w:szCs w:val="30"/>
        </w:rPr>
        <w:t>万元。</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4</w:t>
      </w:r>
      <w:r>
        <w:rPr>
          <w:rFonts w:hint="eastAsia" w:ascii="仿宋_GB2312" w:eastAsia="仿宋_GB2312" w:cs="黑体"/>
          <w:color w:val="auto"/>
          <w:sz w:val="30"/>
          <w:szCs w:val="30"/>
        </w:rPr>
        <w:t>、社会保障和就业支出（类）抚恤（款）</w:t>
      </w:r>
      <w:r>
        <w:rPr>
          <w:rFonts w:hint="eastAsia" w:ascii="仿宋_GB2312" w:eastAsia="仿宋_GB2312" w:cs="黑体"/>
          <w:color w:val="auto"/>
          <w:sz w:val="30"/>
          <w:szCs w:val="30"/>
          <w:lang w:val="en-US" w:eastAsia="zh-CN"/>
        </w:rPr>
        <w:t>退役安置</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4.45</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大于</w:t>
      </w:r>
      <w:r>
        <w:rPr>
          <w:rFonts w:hint="eastAsia" w:ascii="仿宋_GB2312" w:eastAsia="仿宋_GB2312" w:cs="黑体"/>
          <w:color w:val="auto"/>
          <w:sz w:val="30"/>
          <w:szCs w:val="30"/>
        </w:rPr>
        <w:t>预算数的主要原因：人员变动。</w:t>
      </w:r>
    </w:p>
    <w:p>
      <w:pPr>
        <w:rPr>
          <w:rFonts w:hint="eastAsia" w:ascii="仿宋_GB2312" w:eastAsia="仿宋_GB2312" w:cs="黑体"/>
          <w:color w:val="auto"/>
          <w:sz w:val="30"/>
          <w:szCs w:val="30"/>
        </w:rPr>
      </w:pPr>
      <w:r>
        <w:rPr>
          <w:rFonts w:ascii="仿宋_GB2312" w:eastAsia="仿宋_GB2312" w:cs="黑体"/>
          <w:color w:val="auto"/>
          <w:sz w:val="30"/>
          <w:szCs w:val="30"/>
        </w:rPr>
        <w:t xml:space="preserve">    </w:t>
      </w: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5</w:t>
      </w:r>
      <w:r>
        <w:rPr>
          <w:rFonts w:hint="eastAsia" w:ascii="仿宋_GB2312" w:eastAsia="仿宋_GB2312" w:cs="黑体"/>
          <w:color w:val="auto"/>
          <w:sz w:val="30"/>
          <w:szCs w:val="30"/>
        </w:rPr>
        <w:t>、卫生健</w:t>
      </w:r>
      <w:r>
        <w:rPr>
          <w:rFonts w:hint="eastAsia" w:ascii="仿宋_GB2312" w:eastAsia="仿宋_GB2312" w:cs="黑体"/>
          <w:color w:val="auto"/>
          <w:sz w:val="30"/>
          <w:szCs w:val="30"/>
        </w:rPr>
        <w:t>康指出（类）</w:t>
      </w:r>
      <w:r>
        <w:rPr>
          <w:rFonts w:hint="eastAsia" w:ascii="仿宋_GB2312" w:hAnsi="仿宋" w:eastAsia="仿宋_GB2312" w:cs="宋体"/>
          <w:color w:val="auto"/>
          <w:kern w:val="0"/>
          <w:sz w:val="30"/>
          <w:szCs w:val="30"/>
          <w:lang w:val="en-US" w:eastAsia="zh-CN"/>
        </w:rPr>
        <w:t>公共卫生</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突发公共卫生事件应急处理</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6.2</w:t>
      </w:r>
      <w:r>
        <w:rPr>
          <w:rFonts w:hint="eastAsia" w:ascii="仿宋_GB2312" w:eastAsia="仿宋_GB2312" w:cs="黑体"/>
          <w:color w:val="auto"/>
          <w:sz w:val="30"/>
          <w:szCs w:val="30"/>
        </w:rPr>
        <w:t>万元。决算数大于预算数的主要原因：</w:t>
      </w:r>
      <w:r>
        <w:rPr>
          <w:rFonts w:hint="eastAsia" w:ascii="仿宋_GB2312" w:eastAsia="仿宋_GB2312" w:cs="黑体"/>
          <w:color w:val="auto"/>
          <w:sz w:val="30"/>
          <w:szCs w:val="30"/>
          <w:lang w:val="en-US" w:eastAsia="zh-CN"/>
        </w:rPr>
        <w:t>2020年突发新冠疫情</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lang w:val="en-US" w:eastAsia="zh-CN"/>
        </w:rPr>
        <w:t>6</w:t>
      </w:r>
      <w:r>
        <w:rPr>
          <w:rFonts w:hint="eastAsia" w:ascii="仿宋_GB2312" w:eastAsia="仿宋_GB2312" w:cs="黑体"/>
          <w:color w:val="auto"/>
          <w:sz w:val="30"/>
          <w:szCs w:val="30"/>
        </w:rPr>
        <w:t>、</w:t>
      </w:r>
      <w:r>
        <w:rPr>
          <w:rFonts w:hint="eastAsia" w:ascii="仿宋_GB2312" w:eastAsia="仿宋_GB2312" w:cs="黑体"/>
          <w:color w:val="auto"/>
          <w:sz w:val="30"/>
          <w:szCs w:val="30"/>
        </w:rPr>
        <w:t>卫生健</w:t>
      </w:r>
      <w:r>
        <w:rPr>
          <w:rFonts w:hint="eastAsia" w:ascii="仿宋_GB2312" w:eastAsia="仿宋_GB2312" w:cs="黑体"/>
          <w:color w:val="auto"/>
          <w:sz w:val="30"/>
          <w:szCs w:val="30"/>
        </w:rPr>
        <w:t>康指出（类）</w:t>
      </w:r>
      <w:r>
        <w:rPr>
          <w:rFonts w:hint="eastAsia" w:ascii="仿宋_GB2312" w:hAnsi="仿宋" w:eastAsia="仿宋_GB2312" w:cs="宋体"/>
          <w:color w:val="auto"/>
          <w:kern w:val="0"/>
          <w:sz w:val="30"/>
          <w:szCs w:val="30"/>
          <w:lang w:val="en-US" w:eastAsia="zh-CN"/>
        </w:rPr>
        <w:t>行政事业单位医疗</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行政单位医疗</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18.2</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13.34</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小于</w:t>
      </w:r>
      <w:r>
        <w:rPr>
          <w:rFonts w:hint="eastAsia" w:ascii="仿宋_GB2312" w:eastAsia="仿宋_GB2312" w:cs="黑体"/>
          <w:color w:val="auto"/>
          <w:sz w:val="30"/>
          <w:szCs w:val="30"/>
        </w:rPr>
        <w:t>预算数的主要原因：</w:t>
      </w:r>
      <w:r>
        <w:rPr>
          <w:rFonts w:hint="eastAsia" w:ascii="仿宋_GB2312" w:eastAsia="仿宋_GB2312" w:cs="黑体"/>
          <w:color w:val="auto"/>
          <w:sz w:val="30"/>
          <w:szCs w:val="30"/>
          <w:lang w:val="en-US" w:eastAsia="zh-CN"/>
        </w:rPr>
        <w:t>人员变动</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17</w:t>
      </w:r>
      <w:r>
        <w:rPr>
          <w:rFonts w:hint="eastAsia" w:ascii="仿宋_GB2312" w:eastAsia="仿宋_GB2312" w:cs="黑体"/>
          <w:color w:val="auto"/>
          <w:sz w:val="30"/>
          <w:szCs w:val="30"/>
        </w:rPr>
        <w:t>、</w:t>
      </w:r>
      <w:r>
        <w:rPr>
          <w:rFonts w:hint="eastAsia" w:ascii="仿宋_GB2312" w:eastAsia="仿宋_GB2312" w:cs="黑体"/>
          <w:color w:val="auto"/>
          <w:sz w:val="30"/>
          <w:szCs w:val="30"/>
        </w:rPr>
        <w:t>卫生健</w:t>
      </w:r>
      <w:r>
        <w:rPr>
          <w:rFonts w:hint="eastAsia" w:ascii="仿宋_GB2312" w:eastAsia="仿宋_GB2312" w:cs="黑体"/>
          <w:color w:val="auto"/>
          <w:sz w:val="30"/>
          <w:szCs w:val="30"/>
        </w:rPr>
        <w:t>康指出（类）</w:t>
      </w:r>
      <w:r>
        <w:rPr>
          <w:rFonts w:hint="eastAsia" w:ascii="仿宋_GB2312" w:hAnsi="仿宋" w:eastAsia="仿宋_GB2312" w:cs="宋体"/>
          <w:color w:val="auto"/>
          <w:kern w:val="0"/>
          <w:sz w:val="30"/>
          <w:szCs w:val="30"/>
          <w:lang w:val="en-US" w:eastAsia="zh-CN"/>
        </w:rPr>
        <w:t>行政事业单位医疗</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事业单位医疗</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7.3</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7.12</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小于</w:t>
      </w:r>
      <w:r>
        <w:rPr>
          <w:rFonts w:hint="eastAsia" w:ascii="仿宋_GB2312" w:eastAsia="仿宋_GB2312" w:cs="黑体"/>
          <w:color w:val="auto"/>
          <w:sz w:val="30"/>
          <w:szCs w:val="30"/>
        </w:rPr>
        <w:t>预算数的主要原因：</w:t>
      </w:r>
      <w:r>
        <w:rPr>
          <w:rFonts w:hint="eastAsia" w:ascii="仿宋_GB2312" w:eastAsia="仿宋_GB2312" w:cs="黑体"/>
          <w:color w:val="auto"/>
          <w:sz w:val="30"/>
          <w:szCs w:val="30"/>
          <w:lang w:val="en-US" w:eastAsia="zh-CN"/>
        </w:rPr>
        <w:t>人员变动</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18、</w:t>
      </w:r>
      <w:r>
        <w:rPr>
          <w:rFonts w:hint="eastAsia" w:ascii="仿宋_GB2312" w:eastAsia="仿宋_GB2312" w:cs="黑体"/>
          <w:color w:val="auto"/>
          <w:sz w:val="30"/>
          <w:szCs w:val="30"/>
        </w:rPr>
        <w:t>卫生健</w:t>
      </w:r>
      <w:r>
        <w:rPr>
          <w:rFonts w:hint="eastAsia" w:ascii="仿宋_GB2312" w:eastAsia="仿宋_GB2312" w:cs="黑体"/>
          <w:color w:val="auto"/>
          <w:sz w:val="30"/>
          <w:szCs w:val="30"/>
        </w:rPr>
        <w:t>康指出（类）</w:t>
      </w:r>
      <w:r>
        <w:rPr>
          <w:rFonts w:hint="eastAsia" w:ascii="仿宋_GB2312" w:hAnsi="仿宋" w:eastAsia="仿宋_GB2312" w:cs="宋体"/>
          <w:color w:val="auto"/>
          <w:kern w:val="0"/>
          <w:sz w:val="30"/>
          <w:szCs w:val="30"/>
          <w:lang w:val="en-US" w:eastAsia="zh-CN"/>
        </w:rPr>
        <w:t>行政事业单位医疗</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公务员医疗补助</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22.3</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17.77</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小于</w:t>
      </w:r>
      <w:r>
        <w:rPr>
          <w:rFonts w:hint="eastAsia" w:ascii="仿宋_GB2312" w:eastAsia="仿宋_GB2312" w:cs="黑体"/>
          <w:color w:val="auto"/>
          <w:sz w:val="30"/>
          <w:szCs w:val="30"/>
        </w:rPr>
        <w:t>预算数的主要原因：</w:t>
      </w:r>
      <w:r>
        <w:rPr>
          <w:rFonts w:hint="eastAsia" w:ascii="仿宋_GB2312" w:eastAsia="仿宋_GB2312" w:cs="黑体"/>
          <w:color w:val="auto"/>
          <w:sz w:val="30"/>
          <w:szCs w:val="30"/>
          <w:lang w:val="en-US" w:eastAsia="zh-CN"/>
        </w:rPr>
        <w:t>人员变动</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19、</w:t>
      </w:r>
      <w:r>
        <w:rPr>
          <w:rFonts w:hint="eastAsia" w:ascii="仿宋_GB2312" w:eastAsia="仿宋_GB2312" w:cs="黑体"/>
          <w:color w:val="auto"/>
          <w:sz w:val="30"/>
          <w:szCs w:val="30"/>
        </w:rPr>
        <w:t>卫生健</w:t>
      </w:r>
      <w:r>
        <w:rPr>
          <w:rFonts w:hint="eastAsia" w:ascii="仿宋_GB2312" w:eastAsia="仿宋_GB2312" w:cs="黑体"/>
          <w:color w:val="auto"/>
          <w:sz w:val="30"/>
          <w:szCs w:val="30"/>
        </w:rPr>
        <w:t>康指出（类）</w:t>
      </w:r>
      <w:r>
        <w:rPr>
          <w:rFonts w:hint="eastAsia" w:ascii="仿宋_GB2312" w:hAnsi="仿宋" w:eastAsia="仿宋_GB2312" w:cs="宋体"/>
          <w:color w:val="auto"/>
          <w:kern w:val="0"/>
          <w:sz w:val="30"/>
          <w:szCs w:val="30"/>
          <w:lang w:val="en-US" w:eastAsia="zh-CN"/>
        </w:rPr>
        <w:t>其他卫生健康支出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其他卫生健康支出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10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0.21</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小于</w:t>
      </w:r>
      <w:r>
        <w:rPr>
          <w:rFonts w:hint="eastAsia" w:ascii="仿宋_GB2312" w:eastAsia="仿宋_GB2312" w:cs="黑体"/>
          <w:color w:val="auto"/>
          <w:sz w:val="30"/>
          <w:szCs w:val="30"/>
        </w:rPr>
        <w:t>预算数的主要原因：</w:t>
      </w:r>
      <w:r>
        <w:rPr>
          <w:rFonts w:hint="eastAsia" w:ascii="仿宋_GB2312" w:eastAsia="仿宋_GB2312" w:cs="黑体"/>
          <w:color w:val="auto"/>
          <w:sz w:val="30"/>
          <w:szCs w:val="30"/>
          <w:lang w:val="en-US" w:eastAsia="zh-CN"/>
        </w:rPr>
        <w:t>人员变动</w:t>
      </w:r>
      <w:r>
        <w:rPr>
          <w:rFonts w:hint="eastAsia" w:ascii="仿宋_GB2312" w:eastAsia="仿宋_GB2312" w:cs="黑体"/>
          <w:color w:val="auto"/>
          <w:sz w:val="30"/>
          <w:szCs w:val="30"/>
        </w:rPr>
        <w:t>。</w:t>
      </w:r>
    </w:p>
    <w:p>
      <w:pPr>
        <w:ind w:firstLine="6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20</w:t>
      </w:r>
      <w:r>
        <w:rPr>
          <w:rFonts w:hint="eastAsia" w:ascii="仿宋_GB2312" w:eastAsia="仿宋_GB2312" w:cs="黑体"/>
          <w:color w:val="auto"/>
          <w:sz w:val="30"/>
          <w:szCs w:val="30"/>
        </w:rPr>
        <w:t>、城乡社区支出（类）</w:t>
      </w:r>
      <w:r>
        <w:rPr>
          <w:rFonts w:hint="eastAsia" w:ascii="仿宋_GB2312" w:hAnsi="仿宋" w:eastAsia="仿宋_GB2312" w:cs="宋体"/>
          <w:color w:val="auto"/>
          <w:kern w:val="0"/>
          <w:sz w:val="30"/>
          <w:szCs w:val="30"/>
        </w:rPr>
        <w:t>城乡社区公共设施</w:t>
      </w:r>
      <w:r>
        <w:rPr>
          <w:rFonts w:hint="eastAsia" w:ascii="仿宋_GB2312" w:eastAsia="仿宋_GB2312" w:cs="黑体"/>
          <w:color w:val="auto"/>
          <w:sz w:val="30"/>
          <w:szCs w:val="30"/>
        </w:rPr>
        <w:t>（款）小城镇基础设施建设（项）。年初预算为</w:t>
      </w:r>
      <w:r>
        <w:rPr>
          <w:rFonts w:hint="eastAsia" w:ascii="仿宋_GB2312" w:eastAsia="仿宋_GB2312" w:cs="黑体"/>
          <w:color w:val="auto"/>
          <w:sz w:val="30"/>
          <w:szCs w:val="30"/>
          <w:lang w:val="en-US" w:eastAsia="zh-CN"/>
        </w:rPr>
        <w:t>200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70.43</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于预算数的主要原因：未全部出现年初预计工作量。</w:t>
      </w:r>
    </w:p>
    <w:p>
      <w:pPr>
        <w:ind w:firstLine="6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21、</w:t>
      </w:r>
      <w:r>
        <w:rPr>
          <w:rFonts w:hint="eastAsia" w:ascii="仿宋_GB2312" w:eastAsia="仿宋_GB2312" w:cs="黑体"/>
          <w:color w:val="auto"/>
          <w:sz w:val="30"/>
          <w:szCs w:val="30"/>
        </w:rPr>
        <w:t>城乡社区支出（类）</w:t>
      </w:r>
      <w:r>
        <w:rPr>
          <w:rFonts w:hint="eastAsia" w:ascii="仿宋_GB2312" w:hAnsi="仿宋" w:eastAsia="仿宋_GB2312" w:cs="宋体"/>
          <w:color w:val="auto"/>
          <w:kern w:val="0"/>
          <w:sz w:val="30"/>
          <w:szCs w:val="30"/>
        </w:rPr>
        <w:t>城乡社区公共设施</w:t>
      </w:r>
      <w:r>
        <w:rPr>
          <w:rFonts w:hint="eastAsia" w:ascii="仿宋_GB2312" w:eastAsia="仿宋_GB2312" w:cs="黑体"/>
          <w:color w:val="auto"/>
          <w:sz w:val="30"/>
          <w:szCs w:val="30"/>
        </w:rPr>
        <w:t>（款）其他城乡社区公共设施支出（项）。年初预算为</w:t>
      </w:r>
      <w:r>
        <w:rPr>
          <w:rFonts w:hint="eastAsia" w:ascii="仿宋_GB2312" w:eastAsia="仿宋_GB2312" w:cs="黑体"/>
          <w:color w:val="auto"/>
          <w:sz w:val="30"/>
          <w:szCs w:val="30"/>
          <w:lang w:val="en-US" w:eastAsia="zh-CN"/>
        </w:rPr>
        <w:t>20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2.64</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于预算数的主要原因：未全部出现年初预计工作量。</w:t>
      </w:r>
    </w:p>
    <w:p>
      <w:pPr>
        <w:ind w:firstLine="600"/>
        <w:rPr>
          <w:rFonts w:hint="eastAsia" w:ascii="仿宋_GB2312" w:eastAsia="仿宋_GB2312" w:cs="黑体"/>
          <w:color w:val="auto"/>
          <w:sz w:val="30"/>
          <w:szCs w:val="30"/>
        </w:rPr>
      </w:pPr>
      <w:r>
        <w:rPr>
          <w:rFonts w:ascii="仿宋_GB2312" w:eastAsia="仿宋_GB2312" w:cs="黑体"/>
          <w:color w:val="auto"/>
          <w:sz w:val="30"/>
          <w:szCs w:val="30"/>
        </w:rPr>
        <w:t>22</w:t>
      </w:r>
      <w:r>
        <w:rPr>
          <w:rFonts w:hint="eastAsia" w:ascii="仿宋_GB2312" w:eastAsia="仿宋_GB2312" w:cs="黑体"/>
          <w:color w:val="auto"/>
          <w:sz w:val="30"/>
          <w:szCs w:val="30"/>
        </w:rPr>
        <w:t>、城乡社区支出（类）</w:t>
      </w:r>
      <w:r>
        <w:rPr>
          <w:rFonts w:hint="eastAsia" w:ascii="仿宋_GB2312" w:hAnsi="仿宋" w:eastAsia="仿宋_GB2312" w:cs="宋体"/>
          <w:color w:val="auto"/>
          <w:kern w:val="0"/>
          <w:sz w:val="30"/>
          <w:szCs w:val="30"/>
        </w:rPr>
        <w:t>城乡社区环境卫生</w:t>
      </w:r>
      <w:r>
        <w:rPr>
          <w:rFonts w:hint="eastAsia" w:ascii="仿宋_GB2312" w:eastAsia="仿宋_GB2312" w:cs="黑体"/>
          <w:color w:val="auto"/>
          <w:sz w:val="30"/>
          <w:szCs w:val="30"/>
        </w:rPr>
        <w:t>（款）</w:t>
      </w:r>
      <w:r>
        <w:rPr>
          <w:rFonts w:hint="eastAsia" w:ascii="仿宋_GB2312" w:hAnsi="仿宋" w:eastAsia="仿宋_GB2312" w:cs="宋体"/>
          <w:color w:val="auto"/>
          <w:kern w:val="0"/>
          <w:sz w:val="30"/>
          <w:szCs w:val="30"/>
        </w:rPr>
        <w:t>城乡社区环境卫生</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25</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97.92</w:t>
      </w:r>
      <w:r>
        <w:rPr>
          <w:rFonts w:hint="eastAsia" w:ascii="仿宋_GB2312" w:eastAsia="仿宋_GB2312" w:cs="黑体"/>
          <w:color w:val="auto"/>
          <w:sz w:val="30"/>
          <w:szCs w:val="30"/>
        </w:rPr>
        <w:t>万元。决算数小于预算数的主要原因：财政资金安排的支出。</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2</w:t>
      </w:r>
      <w:r>
        <w:rPr>
          <w:rFonts w:hint="eastAsia" w:ascii="仿宋_GB2312" w:eastAsia="仿宋_GB2312" w:cs="黑体"/>
          <w:color w:val="auto"/>
          <w:sz w:val="30"/>
          <w:szCs w:val="30"/>
          <w:lang w:val="en-US" w:eastAsia="zh-CN"/>
        </w:rPr>
        <w:t>3</w:t>
      </w:r>
      <w:r>
        <w:rPr>
          <w:rFonts w:hint="eastAsia" w:ascii="仿宋_GB2312" w:eastAsia="仿宋_GB2312" w:cs="黑体"/>
          <w:color w:val="auto"/>
          <w:sz w:val="30"/>
          <w:szCs w:val="30"/>
        </w:rPr>
        <w:t>、农林水支出（类）</w:t>
      </w:r>
      <w:r>
        <w:rPr>
          <w:rFonts w:hint="eastAsia" w:ascii="仿宋_GB2312" w:hAnsi="仿宋" w:eastAsia="仿宋_GB2312" w:cs="宋体"/>
          <w:color w:val="auto"/>
          <w:kern w:val="0"/>
          <w:sz w:val="30"/>
          <w:szCs w:val="30"/>
        </w:rPr>
        <w:t>农业</w:t>
      </w:r>
      <w:r>
        <w:rPr>
          <w:rFonts w:hint="eastAsia" w:ascii="仿宋_GB2312" w:hAnsi="仿宋" w:eastAsia="仿宋_GB2312" w:cs="宋体"/>
          <w:color w:val="auto"/>
          <w:kern w:val="0"/>
          <w:sz w:val="30"/>
          <w:szCs w:val="30"/>
          <w:lang w:val="en-US" w:eastAsia="zh-CN"/>
        </w:rPr>
        <w:t>农村</w:t>
      </w:r>
      <w:r>
        <w:rPr>
          <w:rFonts w:hint="eastAsia" w:ascii="仿宋_GB2312" w:eastAsia="仿宋_GB2312" w:cs="黑体"/>
          <w:color w:val="auto"/>
          <w:sz w:val="30"/>
          <w:szCs w:val="30"/>
        </w:rPr>
        <w:t>（款）事业运行（项）。年初预算为</w:t>
      </w:r>
      <w:r>
        <w:rPr>
          <w:rFonts w:hint="eastAsia" w:ascii="仿宋_GB2312" w:eastAsia="仿宋_GB2312" w:cs="黑体"/>
          <w:color w:val="auto"/>
          <w:sz w:val="30"/>
          <w:szCs w:val="30"/>
          <w:lang w:val="en-US" w:eastAsia="zh-CN"/>
        </w:rPr>
        <w:t>159.3</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61.26</w:t>
      </w:r>
      <w:r>
        <w:rPr>
          <w:rFonts w:hint="eastAsia" w:ascii="仿宋_GB2312" w:eastAsia="仿宋_GB2312" w:cs="黑体"/>
          <w:color w:val="auto"/>
          <w:sz w:val="30"/>
          <w:szCs w:val="30"/>
        </w:rPr>
        <w:t>万元。决算数小于预算数的主要原因：绩效工资未全额发放。</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2</w:t>
      </w:r>
      <w:r>
        <w:rPr>
          <w:rFonts w:hint="eastAsia" w:ascii="仿宋_GB2312" w:eastAsia="仿宋_GB2312" w:cs="黑体"/>
          <w:color w:val="auto"/>
          <w:sz w:val="30"/>
          <w:szCs w:val="30"/>
          <w:lang w:val="en-US" w:eastAsia="zh-CN"/>
        </w:rPr>
        <w:t>4</w:t>
      </w:r>
      <w:r>
        <w:rPr>
          <w:rFonts w:hint="eastAsia" w:ascii="仿宋_GB2312" w:eastAsia="仿宋_GB2312" w:cs="黑体"/>
          <w:color w:val="auto"/>
          <w:sz w:val="30"/>
          <w:szCs w:val="30"/>
        </w:rPr>
        <w:t>、农林水支出（类）</w:t>
      </w:r>
      <w:r>
        <w:rPr>
          <w:rFonts w:hint="eastAsia" w:ascii="仿宋_GB2312" w:hAnsi="仿宋" w:eastAsia="仿宋_GB2312" w:cs="宋体"/>
          <w:color w:val="auto"/>
          <w:kern w:val="0"/>
          <w:sz w:val="30"/>
          <w:szCs w:val="30"/>
        </w:rPr>
        <w:t>农业</w:t>
      </w:r>
      <w:r>
        <w:rPr>
          <w:rFonts w:hint="eastAsia" w:ascii="仿宋_GB2312" w:hAnsi="仿宋" w:eastAsia="仿宋_GB2312" w:cs="宋体"/>
          <w:color w:val="auto"/>
          <w:kern w:val="0"/>
          <w:sz w:val="30"/>
          <w:szCs w:val="30"/>
          <w:lang w:val="en-US" w:eastAsia="zh-CN"/>
        </w:rPr>
        <w:t>农村</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农村合作经济</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30</w:t>
      </w:r>
      <w:r>
        <w:rPr>
          <w:rFonts w:hint="eastAsia" w:ascii="仿宋_GB2312" w:eastAsia="仿宋_GB2312" w:cs="黑体"/>
          <w:color w:val="auto"/>
          <w:sz w:val="30"/>
          <w:szCs w:val="30"/>
        </w:rPr>
        <w:t>万元。决算数小于预算数的主要原因：财政资金安排的支出。</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25</w:t>
      </w:r>
      <w:r>
        <w:rPr>
          <w:rFonts w:hint="eastAsia" w:ascii="仿宋_GB2312" w:eastAsia="仿宋_GB2312" w:cs="黑体"/>
          <w:color w:val="auto"/>
          <w:sz w:val="30"/>
          <w:szCs w:val="30"/>
        </w:rPr>
        <w:t>、农林水支出（类）</w:t>
      </w:r>
      <w:r>
        <w:rPr>
          <w:rFonts w:hint="eastAsia" w:ascii="仿宋_GB2312" w:hAnsi="仿宋" w:eastAsia="仿宋_GB2312" w:cs="宋体"/>
          <w:color w:val="auto"/>
          <w:kern w:val="0"/>
          <w:sz w:val="30"/>
          <w:szCs w:val="30"/>
          <w:lang w:val="en-US" w:eastAsia="zh-CN"/>
        </w:rPr>
        <w:t>林业和草原</w:t>
      </w:r>
      <w:r>
        <w:rPr>
          <w:rFonts w:hint="eastAsia" w:ascii="仿宋_GB2312" w:eastAsia="仿宋_GB2312" w:cs="黑体"/>
          <w:color w:val="auto"/>
          <w:sz w:val="30"/>
          <w:szCs w:val="30"/>
        </w:rPr>
        <w:t>（款）其他林业和草原支出（项）。年初预算为</w:t>
      </w:r>
      <w:r>
        <w:rPr>
          <w:rFonts w:hint="eastAsia" w:ascii="仿宋_GB2312" w:eastAsia="仿宋_GB2312" w:cs="黑体"/>
          <w:color w:val="auto"/>
          <w:sz w:val="30"/>
          <w:szCs w:val="30"/>
          <w:lang w:val="en-US" w:eastAsia="zh-CN"/>
        </w:rPr>
        <w:t>3</w:t>
      </w:r>
      <w:r>
        <w:rPr>
          <w:rFonts w:ascii="仿宋_GB2312" w:eastAsia="仿宋_GB2312" w:cs="黑体"/>
          <w:color w:val="auto"/>
          <w:sz w:val="30"/>
          <w:szCs w:val="30"/>
        </w:rPr>
        <w:t>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于预算数的主要原因：未全部出现年初预计工作量。</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26</w:t>
      </w:r>
      <w:r>
        <w:rPr>
          <w:rFonts w:hint="eastAsia" w:ascii="仿宋_GB2312" w:eastAsia="仿宋_GB2312" w:cs="黑体"/>
          <w:color w:val="auto"/>
          <w:sz w:val="30"/>
          <w:szCs w:val="30"/>
        </w:rPr>
        <w:t>、农林水支出（类）</w:t>
      </w:r>
      <w:r>
        <w:rPr>
          <w:rFonts w:hint="eastAsia" w:ascii="仿宋_GB2312" w:hAnsi="仿宋" w:eastAsia="仿宋_GB2312" w:cs="宋体"/>
          <w:color w:val="auto"/>
          <w:kern w:val="0"/>
          <w:sz w:val="30"/>
          <w:szCs w:val="30"/>
        </w:rPr>
        <w:t>水利</w:t>
      </w:r>
      <w:r>
        <w:rPr>
          <w:rFonts w:hint="eastAsia" w:ascii="仿宋_GB2312" w:eastAsia="仿宋_GB2312" w:cs="黑体"/>
          <w:color w:val="auto"/>
          <w:sz w:val="30"/>
          <w:szCs w:val="30"/>
        </w:rPr>
        <w:t>（款）其他水利支出（项）。年初预算为</w:t>
      </w:r>
      <w:r>
        <w:rPr>
          <w:rFonts w:hint="eastAsia" w:ascii="仿宋_GB2312" w:eastAsia="仿宋_GB2312" w:cs="黑体"/>
          <w:color w:val="auto"/>
          <w:sz w:val="30"/>
          <w:szCs w:val="30"/>
          <w:lang w:val="en-US" w:eastAsia="zh-CN"/>
        </w:rPr>
        <w:t>40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2.08</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于预算主要原因：未全部出现年初预计工作量。</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27</w:t>
      </w:r>
      <w:r>
        <w:rPr>
          <w:rFonts w:hint="eastAsia" w:ascii="仿宋_GB2312" w:eastAsia="仿宋_GB2312" w:cs="黑体"/>
          <w:color w:val="auto"/>
          <w:sz w:val="30"/>
          <w:szCs w:val="30"/>
        </w:rPr>
        <w:t>、农林水支出（类）扶贫（款）生产发展（项）。年初预算为</w:t>
      </w:r>
      <w:r>
        <w:rPr>
          <w:rFonts w:ascii="仿宋_GB2312" w:eastAsia="仿宋_GB2312" w:cs="黑体"/>
          <w:color w:val="auto"/>
          <w:sz w:val="30"/>
          <w:szCs w:val="30"/>
        </w:rPr>
        <w:t>50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23.78</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未全部出现年初预计工作量。</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28</w:t>
      </w:r>
      <w:r>
        <w:rPr>
          <w:rFonts w:hint="eastAsia" w:ascii="仿宋_GB2312" w:eastAsia="仿宋_GB2312" w:cs="黑体"/>
          <w:color w:val="auto"/>
          <w:sz w:val="30"/>
          <w:szCs w:val="30"/>
        </w:rPr>
        <w:t>、农林水支出（类）农村综合改革（款）对村民委员会和村党支部的补助（项）。年初预算为</w:t>
      </w:r>
      <w:r>
        <w:rPr>
          <w:rFonts w:hint="eastAsia" w:ascii="仿宋_GB2312" w:eastAsia="仿宋_GB2312" w:cs="黑体"/>
          <w:color w:val="auto"/>
          <w:sz w:val="30"/>
          <w:szCs w:val="30"/>
          <w:lang w:val="en-US" w:eastAsia="zh-CN"/>
        </w:rPr>
        <w:t>119.4</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126.54</w:t>
      </w:r>
      <w:r>
        <w:rPr>
          <w:rFonts w:hint="eastAsia" w:ascii="仿宋_GB2312" w:eastAsia="仿宋_GB2312" w:cs="黑体"/>
          <w:color w:val="auto"/>
          <w:sz w:val="30"/>
          <w:szCs w:val="30"/>
        </w:rPr>
        <w:t>万元。决算数大于预算主要原因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镇政府对村集体的补助。</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val="en-US" w:eastAsia="zh-CN"/>
        </w:rPr>
        <w:t>29</w:t>
      </w:r>
      <w:r>
        <w:rPr>
          <w:rFonts w:hint="eastAsia" w:ascii="仿宋_GB2312" w:eastAsia="仿宋_GB2312" w:cs="黑体"/>
          <w:color w:val="auto"/>
          <w:sz w:val="30"/>
          <w:szCs w:val="30"/>
        </w:rPr>
        <w:t>、农林水支出（类）</w:t>
      </w:r>
      <w:r>
        <w:rPr>
          <w:rFonts w:hint="eastAsia" w:ascii="仿宋_GB2312" w:eastAsia="仿宋_GB2312" w:cs="黑体"/>
          <w:color w:val="auto"/>
          <w:sz w:val="30"/>
          <w:szCs w:val="30"/>
          <w:lang w:val="en-US" w:eastAsia="zh-CN"/>
        </w:rPr>
        <w:t>其他农林水支出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其他农林水支出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10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1.87</w:t>
      </w:r>
      <w:r>
        <w:rPr>
          <w:rFonts w:hint="eastAsia" w:ascii="仿宋_GB2312" w:eastAsia="仿宋_GB2312" w:cs="黑体"/>
          <w:color w:val="auto"/>
          <w:sz w:val="30"/>
          <w:szCs w:val="30"/>
        </w:rPr>
        <w:t>万元。决算数大于预算主要原因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未全部出现年初预计工作量。</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、交通</w:t>
      </w:r>
      <w:r>
        <w:rPr>
          <w:rFonts w:hint="eastAsia" w:ascii="仿宋_GB2312" w:eastAsia="仿宋_GB2312" w:cs="黑体"/>
          <w:color w:val="auto"/>
          <w:sz w:val="30"/>
          <w:szCs w:val="30"/>
        </w:rPr>
        <w:t>运输支出（类）其他交通运输支出（款）</w:t>
      </w:r>
      <w:r>
        <w:rPr>
          <w:rFonts w:hint="eastAsia" w:ascii="仿宋_GB2312" w:eastAsia="仿宋_GB2312" w:cs="黑体"/>
          <w:color w:val="auto"/>
          <w:sz w:val="30"/>
          <w:szCs w:val="30"/>
          <w:lang w:val="en-US" w:eastAsia="zh-CN"/>
        </w:rPr>
        <w:t>其他交通运输支出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22</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18.61</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于预算数的主要原因：未全部出现年初预计工作量。</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lang w:val="en-US" w:eastAsia="zh-CN"/>
        </w:rPr>
        <w:t>1</w:t>
      </w:r>
      <w:r>
        <w:rPr>
          <w:rFonts w:hint="eastAsia" w:ascii="仿宋_GB2312" w:eastAsia="仿宋_GB2312" w:cs="黑体"/>
          <w:color w:val="auto"/>
          <w:sz w:val="30"/>
          <w:szCs w:val="30"/>
        </w:rPr>
        <w:t>、资源勘探信息等支出（类）支持中小企业发展和管理支出（款）其他支持中小企业发展和管理支出（项）。年初预算为</w:t>
      </w:r>
      <w:r>
        <w:rPr>
          <w:rFonts w:hint="eastAsia" w:ascii="仿宋_GB2312" w:eastAsia="仿宋_GB2312" w:cs="黑体"/>
          <w:color w:val="auto"/>
          <w:sz w:val="30"/>
          <w:szCs w:val="30"/>
          <w:lang w:val="en-US" w:eastAsia="zh-CN"/>
        </w:rPr>
        <w:t>750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866.22</w:t>
      </w:r>
      <w:r>
        <w:rPr>
          <w:rFonts w:hint="eastAsia" w:ascii="仿宋_GB2312" w:eastAsia="仿宋_GB2312" w:cs="黑体"/>
          <w:color w:val="auto"/>
          <w:sz w:val="30"/>
          <w:szCs w:val="30"/>
        </w:rPr>
        <w:t>万元。决算数大于预算数的主要原因：拨付招商引资企业补助增加。</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lang w:val="en-US" w:eastAsia="zh-CN"/>
        </w:rPr>
        <w:t>2</w:t>
      </w:r>
      <w:r>
        <w:rPr>
          <w:rFonts w:hint="eastAsia" w:ascii="仿宋_GB2312" w:eastAsia="仿宋_GB2312" w:cs="黑体"/>
          <w:color w:val="auto"/>
          <w:sz w:val="30"/>
          <w:szCs w:val="30"/>
        </w:rPr>
        <w:t>、住房保障支出（类）住房改革支出（款）住房公积金（项）。年初预算为</w:t>
      </w:r>
      <w:r>
        <w:rPr>
          <w:rFonts w:hint="eastAsia" w:ascii="仿宋_GB2312" w:eastAsia="仿宋_GB2312" w:cs="黑体"/>
          <w:color w:val="auto"/>
          <w:sz w:val="30"/>
          <w:szCs w:val="30"/>
          <w:lang w:val="en-US" w:eastAsia="zh-CN"/>
        </w:rPr>
        <w:t>38.2</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69.11</w:t>
      </w:r>
      <w:r>
        <w:rPr>
          <w:rFonts w:hint="eastAsia" w:ascii="仿宋_GB2312" w:eastAsia="仿宋_GB2312" w:cs="黑体"/>
          <w:color w:val="auto"/>
          <w:sz w:val="30"/>
          <w:szCs w:val="30"/>
        </w:rPr>
        <w:t>万元。决算数大于预算数的主要原因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人员变动。</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lang w:val="en-US" w:eastAsia="zh-CN"/>
        </w:rPr>
        <w:t>3</w:t>
      </w:r>
      <w:r>
        <w:rPr>
          <w:rFonts w:hint="eastAsia" w:ascii="仿宋_GB2312" w:eastAsia="仿宋_GB2312" w:cs="黑体"/>
          <w:color w:val="auto"/>
          <w:sz w:val="30"/>
          <w:szCs w:val="30"/>
        </w:rPr>
        <w:t>、住房保障支出（类）住房改革支出（款）提租补贴（项）。年初预算为</w:t>
      </w:r>
      <w:r>
        <w:rPr>
          <w:rFonts w:hint="eastAsia" w:ascii="仿宋_GB2312" w:eastAsia="仿宋_GB2312" w:cs="黑体"/>
          <w:color w:val="auto"/>
          <w:sz w:val="30"/>
          <w:szCs w:val="30"/>
          <w:lang w:val="en-US" w:eastAsia="zh-CN"/>
        </w:rPr>
        <w:t>37.6</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32.64</w:t>
      </w:r>
      <w:r>
        <w:rPr>
          <w:rFonts w:hint="eastAsia" w:ascii="仿宋_GB2312" w:eastAsia="仿宋_GB2312" w:cs="黑体"/>
          <w:color w:val="auto"/>
          <w:sz w:val="30"/>
          <w:szCs w:val="30"/>
        </w:rPr>
        <w:t>万元。</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lang w:val="en-US" w:eastAsia="zh-CN"/>
        </w:rPr>
        <w:t>4</w:t>
      </w:r>
      <w:r>
        <w:rPr>
          <w:rFonts w:hint="eastAsia" w:ascii="仿宋_GB2312" w:eastAsia="仿宋_GB2312" w:cs="黑体"/>
          <w:color w:val="auto"/>
          <w:sz w:val="30"/>
          <w:szCs w:val="30"/>
        </w:rPr>
        <w:t>、灾害防止及应急管理支出（类）应急管理事务（款）其他应急管理支出（项）。年初预算为</w:t>
      </w:r>
      <w:r>
        <w:rPr>
          <w:rFonts w:hint="eastAsia" w:ascii="仿宋_GB2312" w:eastAsia="仿宋_GB2312" w:cs="黑体"/>
          <w:color w:val="auto"/>
          <w:sz w:val="30"/>
          <w:szCs w:val="30"/>
          <w:lang w:val="en-US" w:eastAsia="zh-CN"/>
        </w:rPr>
        <w:t>80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1.75</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小</w:t>
      </w:r>
      <w:r>
        <w:rPr>
          <w:rFonts w:hint="eastAsia" w:ascii="仿宋_GB2312" w:eastAsia="仿宋_GB2312" w:cs="黑体"/>
          <w:color w:val="auto"/>
          <w:sz w:val="30"/>
          <w:szCs w:val="30"/>
        </w:rPr>
        <w:t>于预算数的主要原因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未全部出现年初预计工作量。</w:t>
      </w:r>
    </w:p>
    <w:p>
      <w:pPr>
        <w:ind w:firstLine="600" w:firstLineChars="200"/>
        <w:rPr>
          <w:rFonts w:hint="default" w:ascii="仿宋_GB2312" w:eastAsia="仿宋_GB2312" w:cs="黑体"/>
          <w:color w:val="auto"/>
          <w:sz w:val="30"/>
          <w:szCs w:val="30"/>
          <w:lang w:val="en-US" w:eastAsia="zh-CN"/>
        </w:rPr>
      </w:pPr>
      <w:r>
        <w:rPr>
          <w:rFonts w:hint="eastAsia" w:ascii="仿宋_GB2312" w:eastAsia="仿宋_GB2312" w:cs="黑体"/>
          <w:color w:val="auto"/>
          <w:sz w:val="30"/>
          <w:szCs w:val="30"/>
          <w:lang w:val="en-US" w:eastAsia="zh-CN"/>
        </w:rPr>
        <w:t>35、</w:t>
      </w:r>
      <w:r>
        <w:rPr>
          <w:rFonts w:hint="eastAsia" w:ascii="仿宋_GB2312" w:eastAsia="仿宋_GB2312" w:cs="黑体"/>
          <w:color w:val="auto"/>
          <w:sz w:val="30"/>
          <w:szCs w:val="30"/>
        </w:rPr>
        <w:t>灾害防止及应急管理支出（类）</w:t>
      </w:r>
      <w:r>
        <w:rPr>
          <w:rFonts w:hint="eastAsia" w:ascii="仿宋_GB2312" w:eastAsia="仿宋_GB2312" w:cs="黑体"/>
          <w:color w:val="auto"/>
          <w:sz w:val="30"/>
          <w:szCs w:val="30"/>
          <w:lang w:val="en-US" w:eastAsia="zh-CN"/>
        </w:rPr>
        <w:t>自然灾害救灾及恢复重建支出</w:t>
      </w:r>
      <w:r>
        <w:rPr>
          <w:rFonts w:hint="eastAsia" w:ascii="仿宋_GB2312" w:eastAsia="仿宋_GB2312" w:cs="黑体"/>
          <w:color w:val="auto"/>
          <w:sz w:val="30"/>
          <w:szCs w:val="30"/>
        </w:rPr>
        <w:t>（款）</w:t>
      </w:r>
      <w:r>
        <w:rPr>
          <w:rFonts w:hint="eastAsia" w:ascii="仿宋_GB2312" w:eastAsia="仿宋_GB2312" w:cs="黑体"/>
          <w:color w:val="auto"/>
          <w:sz w:val="30"/>
          <w:szCs w:val="30"/>
          <w:lang w:val="en-US" w:eastAsia="zh-CN"/>
        </w:rPr>
        <w:t>其他自然灾害救灾及恢复重建支出</w:t>
      </w:r>
      <w:r>
        <w:rPr>
          <w:rFonts w:hint="eastAsia" w:ascii="仿宋_GB2312" w:eastAsia="仿宋_GB2312" w:cs="黑体"/>
          <w:color w:val="auto"/>
          <w:sz w:val="30"/>
          <w:szCs w:val="30"/>
        </w:rPr>
        <w:t>（项）。年初预算为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150</w:t>
      </w:r>
      <w:r>
        <w:rPr>
          <w:rFonts w:hint="eastAsia" w:ascii="仿宋_GB2312" w:eastAsia="仿宋_GB2312" w:cs="黑体"/>
          <w:color w:val="auto"/>
          <w:sz w:val="30"/>
          <w:szCs w:val="30"/>
        </w:rPr>
        <w:t>万元。决算数</w:t>
      </w:r>
      <w:r>
        <w:rPr>
          <w:rFonts w:hint="eastAsia" w:ascii="仿宋_GB2312" w:eastAsia="仿宋_GB2312" w:cs="黑体"/>
          <w:color w:val="auto"/>
          <w:sz w:val="30"/>
          <w:szCs w:val="30"/>
          <w:lang w:val="en-US" w:eastAsia="zh-CN"/>
        </w:rPr>
        <w:t>大</w:t>
      </w:r>
      <w:r>
        <w:rPr>
          <w:rFonts w:hint="eastAsia" w:ascii="仿宋_GB2312" w:eastAsia="仿宋_GB2312" w:cs="黑体"/>
          <w:color w:val="auto"/>
          <w:sz w:val="30"/>
          <w:szCs w:val="30"/>
        </w:rPr>
        <w:t>于预算数的主要原因</w:t>
      </w:r>
      <w:r>
        <w:rPr>
          <w:rFonts w:hint="eastAsia" w:ascii="仿宋_GB2312" w:eastAsia="仿宋_GB2312" w:cs="黑体"/>
          <w:color w:val="auto"/>
          <w:sz w:val="30"/>
          <w:szCs w:val="30"/>
          <w:lang w:eastAsia="zh-CN"/>
        </w:rPr>
        <w:t>：</w:t>
      </w:r>
      <w:r>
        <w:rPr>
          <w:rFonts w:hint="eastAsia" w:ascii="仿宋_GB2312" w:eastAsia="仿宋_GB2312" w:cs="黑体"/>
          <w:color w:val="auto"/>
          <w:sz w:val="30"/>
          <w:szCs w:val="30"/>
        </w:rPr>
        <w:t>财政资金安排的支出。</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六、关于</w:t>
      </w:r>
      <w:r>
        <w:rPr>
          <w:rFonts w:hint="eastAsia" w:ascii="楷体_GB2312" w:hAnsi="宋体" w:eastAsia="楷体_GB2312" w:cs="黑体"/>
          <w:b/>
          <w:color w:val="auto"/>
          <w:sz w:val="30"/>
          <w:szCs w:val="30"/>
        </w:rPr>
        <w:t>庄河市荷花山镇人民政府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年度一般公共预算财政拨款基本支出决算情况说明</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庄河市人民政府荷花山镇人民政府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年度一般公共预算财政拨款基本支出</w:t>
      </w:r>
      <w:r>
        <w:rPr>
          <w:rFonts w:hint="eastAsia" w:ascii="仿宋_GB2312" w:eastAsia="仿宋_GB2312" w:cs="黑体"/>
          <w:color w:val="auto"/>
          <w:sz w:val="30"/>
          <w:szCs w:val="30"/>
          <w:lang w:val="en-US" w:eastAsia="zh-CN"/>
        </w:rPr>
        <w:t>939.42</w:t>
      </w:r>
      <w:r>
        <w:rPr>
          <w:rFonts w:hint="eastAsia" w:ascii="仿宋_GB2312" w:eastAsia="仿宋_GB2312" w:cs="黑体"/>
          <w:color w:val="auto"/>
          <w:sz w:val="30"/>
          <w:szCs w:val="30"/>
        </w:rPr>
        <w:t>万元，包括人员经费</w:t>
      </w:r>
      <w:r>
        <w:rPr>
          <w:rFonts w:hint="eastAsia" w:ascii="仿宋_GB2312" w:eastAsia="仿宋_GB2312" w:cs="黑体"/>
          <w:color w:val="auto"/>
          <w:sz w:val="30"/>
          <w:szCs w:val="30"/>
          <w:lang w:val="en-US" w:eastAsia="zh-CN"/>
        </w:rPr>
        <w:t>733.01</w:t>
      </w:r>
      <w:r>
        <w:rPr>
          <w:rFonts w:hint="eastAsia" w:ascii="仿宋_GB2312" w:eastAsia="仿宋_GB2312" w:cs="黑体"/>
          <w:color w:val="auto"/>
          <w:sz w:val="30"/>
          <w:szCs w:val="30"/>
        </w:rPr>
        <w:t>万元，公用经费</w:t>
      </w:r>
      <w:r>
        <w:rPr>
          <w:rFonts w:hint="eastAsia" w:ascii="仿宋_GB2312" w:eastAsia="仿宋_GB2312" w:cs="黑体"/>
          <w:color w:val="auto"/>
          <w:sz w:val="30"/>
          <w:szCs w:val="30"/>
          <w:lang w:val="en-US" w:eastAsia="zh-CN"/>
        </w:rPr>
        <w:t>206.41</w:t>
      </w:r>
      <w:r>
        <w:rPr>
          <w:rFonts w:hint="eastAsia" w:ascii="仿宋_GB2312" w:eastAsia="仿宋_GB2312" w:cs="黑体"/>
          <w:color w:val="auto"/>
          <w:sz w:val="30"/>
          <w:szCs w:val="30"/>
        </w:rPr>
        <w:t>万元。基本支出中：</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rPr>
        <w:t>、工资福利支出</w:t>
      </w:r>
      <w:r>
        <w:rPr>
          <w:rFonts w:hint="eastAsia" w:ascii="仿宋_GB2312" w:eastAsia="仿宋_GB2312" w:cs="黑体"/>
          <w:color w:val="auto"/>
          <w:sz w:val="30"/>
          <w:szCs w:val="30"/>
          <w:lang w:val="en-US" w:eastAsia="zh-CN"/>
        </w:rPr>
        <w:t>690.6</w:t>
      </w:r>
      <w:r>
        <w:rPr>
          <w:rFonts w:hint="eastAsia" w:ascii="仿宋_GB2312" w:eastAsia="仿宋_GB2312" w:cs="黑体"/>
          <w:color w:val="auto"/>
          <w:sz w:val="30"/>
          <w:szCs w:val="30"/>
        </w:rPr>
        <w:t>万元，主要用于：基本工资、津贴补贴、奖金、绩效、机关事业单位基本养老保险费、职业年金、职工基本医疗保险缴费、公务员医疗补助缴费、其他社会保障缴费、住房公积金、其他工资福利支出。</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2</w:t>
      </w:r>
      <w:r>
        <w:rPr>
          <w:rFonts w:hint="eastAsia" w:ascii="仿宋_GB2312" w:eastAsia="仿宋_GB2312" w:cs="黑体"/>
          <w:color w:val="auto"/>
          <w:sz w:val="30"/>
          <w:szCs w:val="30"/>
        </w:rPr>
        <w:t>、商品和服务支出</w:t>
      </w:r>
      <w:r>
        <w:rPr>
          <w:rFonts w:hint="eastAsia" w:ascii="仿宋_GB2312" w:eastAsia="仿宋_GB2312" w:cs="黑体"/>
          <w:color w:val="auto"/>
          <w:sz w:val="30"/>
          <w:szCs w:val="30"/>
          <w:lang w:val="en-US" w:eastAsia="zh-CN"/>
        </w:rPr>
        <w:t>206.41</w:t>
      </w:r>
      <w:r>
        <w:rPr>
          <w:rFonts w:hint="eastAsia" w:ascii="仿宋_GB2312" w:eastAsia="仿宋_GB2312" w:cs="黑体"/>
          <w:color w:val="auto"/>
          <w:sz w:val="30"/>
          <w:szCs w:val="30"/>
        </w:rPr>
        <w:t>万元，主要用于：办公费、手续费、印刷费、水费、电费、邮电费、取暖费、差旅费、维修（护）费、公务接待费、劳务费、工会经费、公务用车运行维护费、其他交通费用、其他商品和服务支出。</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rPr>
        <w:t>、对个人和家庭的补助支出</w:t>
      </w:r>
      <w:r>
        <w:rPr>
          <w:rFonts w:hint="eastAsia" w:ascii="仿宋_GB2312" w:eastAsia="仿宋_GB2312" w:cs="黑体"/>
          <w:color w:val="auto"/>
          <w:sz w:val="30"/>
          <w:szCs w:val="30"/>
          <w:lang w:val="en-US" w:eastAsia="zh-CN"/>
        </w:rPr>
        <w:t>42.41</w:t>
      </w:r>
      <w:r>
        <w:rPr>
          <w:rFonts w:hint="eastAsia" w:ascii="仿宋_GB2312" w:eastAsia="仿宋_GB2312" w:cs="黑体"/>
          <w:color w:val="auto"/>
          <w:sz w:val="30"/>
          <w:szCs w:val="30"/>
        </w:rPr>
        <w:t>万元，主要用于：离休费、生活补助、其他农业生产补助。</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4</w:t>
      </w:r>
      <w:r>
        <w:rPr>
          <w:rFonts w:hint="eastAsia" w:ascii="仿宋_GB2312" w:eastAsia="仿宋_GB2312" w:cs="黑体"/>
          <w:color w:val="auto"/>
          <w:sz w:val="30"/>
          <w:szCs w:val="30"/>
        </w:rPr>
        <w:t>、对社会保险基金的补助支出</w:t>
      </w:r>
      <w:r>
        <w:rPr>
          <w:rFonts w:hint="eastAsia" w:ascii="仿宋_GB2312" w:eastAsia="仿宋_GB2312" w:cs="黑体"/>
          <w:color w:val="auto"/>
          <w:sz w:val="30"/>
          <w:szCs w:val="30"/>
          <w:lang w:val="en-US" w:eastAsia="zh-CN"/>
        </w:rPr>
        <w:t>167.33</w:t>
      </w:r>
      <w:r>
        <w:rPr>
          <w:rFonts w:hint="eastAsia" w:ascii="仿宋_GB2312" w:eastAsia="仿宋_GB2312" w:cs="黑体"/>
          <w:color w:val="auto"/>
          <w:sz w:val="30"/>
          <w:szCs w:val="30"/>
        </w:rPr>
        <w:t>万元，主要用于保险逆差的支出。</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七、关于庄河市人民政府荷花山镇人民政府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年度一般公共预算财政拨款“三公”经费支出决算情况说明</w:t>
      </w:r>
    </w:p>
    <w:p>
      <w:pPr>
        <w:outlineLvl w:val="0"/>
        <w:rPr>
          <w:rFonts w:hint="eastAsia" w:ascii="楷体_GB2312" w:eastAsia="楷体_GB2312" w:cs="黑体"/>
          <w:b/>
          <w:color w:val="auto"/>
          <w:sz w:val="30"/>
          <w:szCs w:val="30"/>
        </w:rPr>
      </w:pPr>
      <w:r>
        <w:rPr>
          <w:rFonts w:hint="eastAsia" w:ascii="楷体_GB2312" w:hAnsi="宋体" w:eastAsia="楷体_GB2312" w:cs="黑体"/>
          <w:b/>
          <w:color w:val="auto"/>
          <w:sz w:val="30"/>
          <w:szCs w:val="30"/>
        </w:rPr>
        <w:t>（一）</w:t>
      </w:r>
      <w:r>
        <w:rPr>
          <w:rFonts w:hint="eastAsia" w:ascii="楷体_GB2312" w:eastAsia="楷体_GB2312" w:cs="黑体"/>
          <w:b/>
          <w:color w:val="auto"/>
          <w:sz w:val="30"/>
          <w:szCs w:val="30"/>
        </w:rPr>
        <w:t>“三公”经费财政拨款支出决算总体情况说明。</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庄河市人民政府荷花山镇人民政府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年度“三公”经费财政拨款支出年初预算为</w:t>
      </w:r>
      <w:r>
        <w:rPr>
          <w:rFonts w:hint="eastAsia" w:ascii="仿宋_GB2312" w:eastAsia="仿宋_GB2312" w:cs="黑体"/>
          <w:color w:val="auto"/>
          <w:sz w:val="30"/>
          <w:szCs w:val="30"/>
          <w:lang w:val="en-US" w:eastAsia="zh-CN"/>
        </w:rPr>
        <w:t>7</w:t>
      </w:r>
      <w:r>
        <w:rPr>
          <w:rFonts w:hint="eastAsia" w:ascii="仿宋_GB2312" w:eastAsia="仿宋_GB2312" w:cs="黑体"/>
          <w:color w:val="auto"/>
          <w:sz w:val="30"/>
          <w:szCs w:val="30"/>
        </w:rPr>
        <w:t>万元，支出决算为</w:t>
      </w:r>
      <w:r>
        <w:rPr>
          <w:rFonts w:hint="eastAsia" w:ascii="仿宋_GB2312" w:eastAsia="仿宋_GB2312" w:cs="黑体"/>
          <w:color w:val="auto"/>
          <w:sz w:val="30"/>
          <w:szCs w:val="30"/>
          <w:lang w:val="en-US" w:eastAsia="zh-CN"/>
        </w:rPr>
        <w:t>14.34</w:t>
      </w:r>
      <w:r>
        <w:rPr>
          <w:rFonts w:hint="eastAsia" w:ascii="仿宋_GB2312" w:eastAsia="仿宋_GB2312" w:cs="黑体"/>
          <w:color w:val="auto"/>
          <w:sz w:val="30"/>
          <w:szCs w:val="30"/>
        </w:rPr>
        <w:t>万元，完成预算的</w:t>
      </w:r>
      <w:r>
        <w:rPr>
          <w:rFonts w:hint="eastAsia" w:ascii="仿宋_GB2312" w:eastAsia="仿宋_GB2312" w:cs="黑体"/>
          <w:color w:val="auto"/>
          <w:sz w:val="30"/>
          <w:szCs w:val="30"/>
          <w:lang w:val="en-US" w:eastAsia="zh-CN"/>
        </w:rPr>
        <w:t>204.86</w:t>
      </w:r>
      <w:r>
        <w:rPr>
          <w:rFonts w:ascii="仿宋_GB2312" w:eastAsia="仿宋_GB2312" w:cs="黑体"/>
          <w:color w:val="auto"/>
          <w:sz w:val="30"/>
          <w:szCs w:val="30"/>
        </w:rPr>
        <w:t>%</w:t>
      </w:r>
      <w:r>
        <w:rPr>
          <w:rFonts w:hint="eastAsia" w:ascii="仿宋_GB2312" w:eastAsia="仿宋_GB2312" w:cs="黑体"/>
          <w:color w:val="auto"/>
          <w:sz w:val="30"/>
          <w:szCs w:val="30"/>
        </w:rPr>
        <w:t>，其中：公务用车购置及运行费支出决算为</w:t>
      </w:r>
      <w:r>
        <w:rPr>
          <w:rFonts w:hint="eastAsia" w:ascii="仿宋_GB2312" w:eastAsia="仿宋_GB2312" w:cs="黑体"/>
          <w:color w:val="auto"/>
          <w:sz w:val="30"/>
          <w:szCs w:val="30"/>
          <w:lang w:val="en-US" w:eastAsia="zh-CN"/>
        </w:rPr>
        <w:t>8.44</w:t>
      </w:r>
      <w:r>
        <w:rPr>
          <w:rFonts w:hint="eastAsia" w:ascii="仿宋_GB2312" w:eastAsia="仿宋_GB2312" w:cs="黑体"/>
          <w:color w:val="auto"/>
          <w:sz w:val="30"/>
          <w:szCs w:val="30"/>
        </w:rPr>
        <w:t>万元，完成预算的</w:t>
      </w:r>
      <w:r>
        <w:rPr>
          <w:rFonts w:hint="eastAsia" w:ascii="仿宋_GB2312" w:eastAsia="仿宋_GB2312" w:cs="黑体"/>
          <w:color w:val="auto"/>
          <w:sz w:val="30"/>
          <w:szCs w:val="30"/>
          <w:lang w:val="en-US" w:eastAsia="zh-CN"/>
        </w:rPr>
        <w:t>844</w:t>
      </w:r>
      <w:r>
        <w:rPr>
          <w:rFonts w:ascii="仿宋_GB2312" w:eastAsia="仿宋_GB2312" w:cs="黑体"/>
          <w:color w:val="auto"/>
          <w:sz w:val="30"/>
          <w:szCs w:val="30"/>
        </w:rPr>
        <w:t>%,</w:t>
      </w:r>
      <w:r>
        <w:rPr>
          <w:rFonts w:hint="eastAsia" w:ascii="仿宋_GB2312" w:eastAsia="仿宋_GB2312" w:cs="黑体"/>
          <w:color w:val="auto"/>
          <w:sz w:val="30"/>
          <w:szCs w:val="30"/>
        </w:rPr>
        <w:t>其中：公务用车运行维护费</w:t>
      </w:r>
      <w:r>
        <w:rPr>
          <w:rFonts w:hint="eastAsia" w:ascii="仿宋_GB2312" w:eastAsia="仿宋_GB2312" w:cs="黑体"/>
          <w:color w:val="auto"/>
          <w:sz w:val="30"/>
          <w:szCs w:val="30"/>
          <w:lang w:val="en-US" w:eastAsia="zh-CN"/>
        </w:rPr>
        <w:t>8.44</w:t>
      </w:r>
      <w:r>
        <w:rPr>
          <w:rFonts w:hint="eastAsia" w:ascii="仿宋_GB2312" w:eastAsia="仿宋_GB2312" w:cs="黑体"/>
          <w:color w:val="auto"/>
          <w:sz w:val="30"/>
          <w:szCs w:val="30"/>
        </w:rPr>
        <w:t>万元，完成预算的</w:t>
      </w:r>
      <w:r>
        <w:rPr>
          <w:rFonts w:hint="eastAsia" w:ascii="仿宋_GB2312" w:eastAsia="仿宋_GB2312" w:cs="黑体"/>
          <w:color w:val="auto"/>
          <w:sz w:val="30"/>
          <w:szCs w:val="30"/>
          <w:lang w:val="en-US" w:eastAsia="zh-CN"/>
        </w:rPr>
        <w:t>844</w:t>
      </w:r>
      <w:r>
        <w:rPr>
          <w:rFonts w:ascii="仿宋_GB2312" w:eastAsia="仿宋_GB2312" w:cs="黑体"/>
          <w:color w:val="auto"/>
          <w:sz w:val="30"/>
          <w:szCs w:val="30"/>
        </w:rPr>
        <w:t>%</w:t>
      </w:r>
      <w:r>
        <w:rPr>
          <w:rFonts w:hint="eastAsia" w:ascii="仿宋_GB2312" w:eastAsia="仿宋_GB2312" w:cs="黑体"/>
          <w:color w:val="auto"/>
          <w:sz w:val="30"/>
          <w:szCs w:val="30"/>
        </w:rPr>
        <w:t>；公务接待费支出决算为</w:t>
      </w:r>
      <w:r>
        <w:rPr>
          <w:rFonts w:ascii="仿宋_GB2312" w:eastAsia="仿宋_GB2312" w:cs="黑体"/>
          <w:color w:val="auto"/>
          <w:sz w:val="30"/>
          <w:szCs w:val="30"/>
        </w:rPr>
        <w:t>5.9</w:t>
      </w:r>
      <w:r>
        <w:rPr>
          <w:rFonts w:hint="eastAsia" w:ascii="仿宋_GB2312" w:eastAsia="仿宋_GB2312" w:cs="黑体"/>
          <w:color w:val="auto"/>
          <w:sz w:val="30"/>
          <w:szCs w:val="30"/>
        </w:rPr>
        <w:t>万元，完成预算的</w:t>
      </w:r>
      <w:r>
        <w:rPr>
          <w:rFonts w:ascii="仿宋_GB2312" w:eastAsia="仿宋_GB2312" w:cs="黑体"/>
          <w:color w:val="auto"/>
          <w:sz w:val="30"/>
          <w:szCs w:val="30"/>
        </w:rPr>
        <w:t>98.33%</w:t>
      </w:r>
      <w:r>
        <w:rPr>
          <w:rFonts w:hint="eastAsia" w:ascii="仿宋_GB2312" w:eastAsia="仿宋_GB2312" w:cs="黑体"/>
          <w:color w:val="auto"/>
          <w:sz w:val="30"/>
          <w:szCs w:val="30"/>
        </w:rPr>
        <w:t>。</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年度“三公”经费支出决算数</w:t>
      </w:r>
      <w:r>
        <w:rPr>
          <w:rFonts w:hint="eastAsia" w:ascii="仿宋_GB2312" w:eastAsia="仿宋_GB2312" w:cs="黑体"/>
          <w:color w:val="auto"/>
          <w:sz w:val="30"/>
          <w:szCs w:val="30"/>
          <w:lang w:val="en-US" w:eastAsia="zh-CN"/>
        </w:rPr>
        <w:t>大</w:t>
      </w:r>
      <w:r>
        <w:rPr>
          <w:rFonts w:hint="eastAsia" w:ascii="仿宋_GB2312" w:eastAsia="仿宋_GB2312" w:cs="黑体"/>
          <w:color w:val="auto"/>
          <w:sz w:val="30"/>
          <w:szCs w:val="30"/>
        </w:rPr>
        <w:t>于预算数的主要原因：</w:t>
      </w:r>
      <w:r>
        <w:rPr>
          <w:rFonts w:hint="eastAsia" w:ascii="仿宋_GB2312" w:eastAsia="仿宋_GB2312" w:cs="黑体"/>
          <w:color w:val="auto"/>
          <w:sz w:val="30"/>
          <w:szCs w:val="30"/>
          <w:lang w:val="en-US" w:eastAsia="zh-CN"/>
        </w:rPr>
        <w:t>2020年公车运行次数增多</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年度“三公”经费财政拨款支出决算数比</w:t>
      </w:r>
      <w:r>
        <w:rPr>
          <w:rFonts w:hint="eastAsia" w:ascii="仿宋_GB2312" w:eastAsia="仿宋_GB2312" w:cs="黑体"/>
          <w:color w:val="auto"/>
          <w:sz w:val="30"/>
          <w:szCs w:val="30"/>
          <w:lang w:eastAsia="zh-CN"/>
        </w:rPr>
        <w:t>2019</w:t>
      </w:r>
      <w:r>
        <w:rPr>
          <w:rFonts w:hint="eastAsia" w:ascii="仿宋_GB2312" w:eastAsia="仿宋_GB2312" w:cs="黑体"/>
          <w:color w:val="auto"/>
          <w:sz w:val="30"/>
          <w:szCs w:val="30"/>
        </w:rPr>
        <w:t>年度决算数增加</w:t>
      </w:r>
      <w:r>
        <w:rPr>
          <w:rFonts w:hint="eastAsia" w:ascii="仿宋_GB2312" w:eastAsia="仿宋_GB2312" w:cs="黑体"/>
          <w:color w:val="auto"/>
          <w:sz w:val="30"/>
          <w:szCs w:val="30"/>
          <w:lang w:val="en-US" w:eastAsia="zh-CN"/>
        </w:rPr>
        <w:t>5.91</w:t>
      </w:r>
      <w:r>
        <w:rPr>
          <w:rFonts w:hint="eastAsia" w:ascii="仿宋_GB2312" w:eastAsia="仿宋_GB2312" w:cs="黑体"/>
          <w:color w:val="auto"/>
          <w:sz w:val="30"/>
          <w:szCs w:val="30"/>
        </w:rPr>
        <w:t>万元，增长</w:t>
      </w:r>
      <w:r>
        <w:rPr>
          <w:rFonts w:hint="eastAsia" w:ascii="仿宋_GB2312" w:eastAsia="仿宋_GB2312" w:cs="黑体"/>
          <w:color w:val="auto"/>
          <w:sz w:val="30"/>
          <w:szCs w:val="30"/>
          <w:lang w:val="en-US" w:eastAsia="zh-CN"/>
        </w:rPr>
        <w:t>70.11</w:t>
      </w:r>
      <w:r>
        <w:rPr>
          <w:rFonts w:ascii="仿宋_GB2312" w:eastAsia="仿宋_GB2312" w:cs="黑体"/>
          <w:color w:val="auto"/>
          <w:sz w:val="30"/>
          <w:szCs w:val="30"/>
        </w:rPr>
        <w:t>%</w:t>
      </w:r>
      <w:r>
        <w:rPr>
          <w:rFonts w:hint="eastAsia" w:ascii="仿宋_GB2312" w:eastAsia="仿宋_GB2312" w:cs="黑体"/>
          <w:color w:val="auto"/>
          <w:sz w:val="30"/>
          <w:szCs w:val="30"/>
        </w:rPr>
        <w:t>，其中：公务用车购置及运行费支出决算增加</w:t>
      </w:r>
      <w:r>
        <w:rPr>
          <w:rFonts w:hint="eastAsia" w:ascii="仿宋_GB2312" w:eastAsia="仿宋_GB2312" w:cs="黑体"/>
          <w:color w:val="auto"/>
          <w:sz w:val="30"/>
          <w:szCs w:val="30"/>
          <w:lang w:val="en-US" w:eastAsia="zh-CN"/>
        </w:rPr>
        <w:t>5.91</w:t>
      </w:r>
      <w:r>
        <w:rPr>
          <w:rFonts w:hint="eastAsia" w:ascii="仿宋_GB2312" w:eastAsia="仿宋_GB2312" w:cs="黑体"/>
          <w:color w:val="auto"/>
          <w:sz w:val="30"/>
          <w:szCs w:val="30"/>
        </w:rPr>
        <w:t>万元，增长</w:t>
      </w:r>
      <w:r>
        <w:rPr>
          <w:rFonts w:hint="eastAsia" w:ascii="仿宋_GB2312" w:eastAsia="仿宋_GB2312" w:cs="黑体"/>
          <w:color w:val="auto"/>
          <w:sz w:val="30"/>
          <w:szCs w:val="30"/>
          <w:lang w:val="en-US" w:eastAsia="zh-CN"/>
        </w:rPr>
        <w:t>233.6</w:t>
      </w:r>
      <w:r>
        <w:rPr>
          <w:rFonts w:ascii="仿宋_GB2312" w:eastAsia="仿宋_GB2312" w:cs="黑体"/>
          <w:color w:val="auto"/>
          <w:sz w:val="30"/>
          <w:szCs w:val="30"/>
        </w:rPr>
        <w:t>%</w:t>
      </w:r>
      <w:r>
        <w:rPr>
          <w:rFonts w:hint="eastAsia" w:ascii="仿宋_GB2312" w:eastAsia="仿宋_GB2312" w:cs="黑体"/>
          <w:color w:val="auto"/>
          <w:sz w:val="30"/>
          <w:szCs w:val="30"/>
        </w:rPr>
        <w:t>；公务接待费支出决算</w:t>
      </w:r>
      <w:r>
        <w:rPr>
          <w:rFonts w:hint="eastAsia" w:ascii="仿宋_GB2312" w:eastAsia="仿宋_GB2312" w:cs="黑体"/>
          <w:color w:val="auto"/>
          <w:sz w:val="30"/>
          <w:szCs w:val="30"/>
          <w:lang w:val="en-US" w:eastAsia="zh-CN"/>
        </w:rPr>
        <w:t>数相等</w:t>
      </w:r>
      <w:r>
        <w:rPr>
          <w:rFonts w:hint="eastAsia" w:ascii="仿宋_GB2312" w:eastAsia="仿宋_GB2312" w:cs="黑体"/>
          <w:color w:val="auto"/>
          <w:sz w:val="30"/>
          <w:szCs w:val="30"/>
        </w:rPr>
        <w:t>。公务用车购置及运行费支出增加的主要原因：增加公车。</w:t>
      </w:r>
    </w:p>
    <w:p>
      <w:pPr>
        <w:outlineLvl w:val="0"/>
        <w:rPr>
          <w:rFonts w:hint="eastAsia" w:ascii="楷体_GB2312" w:eastAsia="楷体_GB2312" w:cs="黑体"/>
          <w:b/>
          <w:color w:val="auto"/>
          <w:sz w:val="30"/>
          <w:szCs w:val="30"/>
        </w:rPr>
      </w:pPr>
      <w:r>
        <w:rPr>
          <w:rFonts w:hint="eastAsia" w:ascii="楷体_GB2312" w:hAnsi="宋体" w:eastAsia="楷体_GB2312" w:cs="黑体"/>
          <w:b/>
          <w:color w:val="auto"/>
          <w:sz w:val="30"/>
          <w:szCs w:val="30"/>
        </w:rPr>
        <w:t>（二）</w:t>
      </w:r>
      <w:r>
        <w:rPr>
          <w:rFonts w:hint="eastAsia" w:ascii="楷体_GB2312" w:eastAsia="楷体_GB2312" w:cs="黑体"/>
          <w:b/>
          <w:color w:val="auto"/>
          <w:sz w:val="30"/>
          <w:szCs w:val="30"/>
        </w:rPr>
        <w:t>“三公”经费财政拨款支出决算具体情况说明。</w:t>
      </w:r>
    </w:p>
    <w:p>
      <w:pPr>
        <w:ind w:firstLine="600" w:firstLineChars="200"/>
        <w:rPr>
          <w:rFonts w:hint="eastAsia" w:ascii="楷体_GB2312" w:eastAsia="楷体_GB2312" w:cs="黑体"/>
          <w:b/>
          <w:color w:val="auto"/>
          <w:sz w:val="30"/>
          <w:szCs w:val="30"/>
        </w:rPr>
      </w:pP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年度“三公”经费财政拨款支出决算中，公务用车购置及运行费支出决算</w:t>
      </w:r>
      <w:r>
        <w:rPr>
          <w:rFonts w:hint="eastAsia" w:ascii="仿宋_GB2312" w:eastAsia="仿宋_GB2312" w:cs="黑体"/>
          <w:color w:val="auto"/>
          <w:sz w:val="30"/>
          <w:szCs w:val="30"/>
          <w:lang w:val="en-US" w:eastAsia="zh-CN"/>
        </w:rPr>
        <w:t>8.44</w:t>
      </w:r>
      <w:r>
        <w:rPr>
          <w:rFonts w:hint="eastAsia" w:ascii="仿宋_GB2312" w:eastAsia="仿宋_GB2312" w:cs="黑体"/>
          <w:color w:val="auto"/>
          <w:sz w:val="30"/>
          <w:szCs w:val="30"/>
        </w:rPr>
        <w:t>万元，占“三公”经费财政拨款支出的</w:t>
      </w:r>
      <w:r>
        <w:rPr>
          <w:rFonts w:hint="eastAsia" w:ascii="仿宋_GB2312" w:eastAsia="仿宋_GB2312" w:cs="黑体"/>
          <w:color w:val="auto"/>
          <w:sz w:val="30"/>
          <w:szCs w:val="30"/>
          <w:lang w:val="en-US" w:eastAsia="zh-CN"/>
        </w:rPr>
        <w:t>58.86</w:t>
      </w:r>
      <w:r>
        <w:rPr>
          <w:rFonts w:ascii="仿宋_GB2312" w:eastAsia="仿宋_GB2312" w:cs="黑体"/>
          <w:color w:val="auto"/>
          <w:sz w:val="30"/>
          <w:szCs w:val="30"/>
        </w:rPr>
        <w:t>%</w:t>
      </w:r>
      <w:r>
        <w:rPr>
          <w:rFonts w:hint="eastAsia" w:ascii="仿宋_GB2312" w:eastAsia="仿宋_GB2312" w:cs="黑体"/>
          <w:color w:val="auto"/>
          <w:sz w:val="30"/>
          <w:szCs w:val="30"/>
        </w:rPr>
        <w:t>；公务接待费支出决算</w:t>
      </w:r>
      <w:r>
        <w:rPr>
          <w:rFonts w:ascii="仿宋_GB2312" w:eastAsia="仿宋_GB2312" w:cs="黑体"/>
          <w:color w:val="auto"/>
          <w:sz w:val="30"/>
          <w:szCs w:val="30"/>
        </w:rPr>
        <w:t>5.9</w:t>
      </w:r>
      <w:r>
        <w:rPr>
          <w:rFonts w:hint="eastAsia" w:ascii="仿宋_GB2312" w:eastAsia="仿宋_GB2312" w:cs="黑体"/>
          <w:color w:val="auto"/>
          <w:sz w:val="30"/>
          <w:szCs w:val="30"/>
        </w:rPr>
        <w:t>万元，占“三公”经费财政拨款支出的</w:t>
      </w:r>
      <w:r>
        <w:rPr>
          <w:rFonts w:hint="eastAsia" w:ascii="仿宋_GB2312" w:eastAsia="仿宋_GB2312" w:cs="黑体"/>
          <w:color w:val="auto"/>
          <w:sz w:val="30"/>
          <w:szCs w:val="30"/>
          <w:lang w:val="en-US" w:eastAsia="zh-CN"/>
        </w:rPr>
        <w:t>41.14</w:t>
      </w:r>
      <w:r>
        <w:rPr>
          <w:rFonts w:ascii="仿宋_GB2312" w:eastAsia="仿宋_GB2312" w:cs="黑体"/>
          <w:color w:val="auto"/>
          <w:sz w:val="30"/>
          <w:szCs w:val="30"/>
        </w:rPr>
        <w:t>%</w:t>
      </w:r>
      <w:r>
        <w:rPr>
          <w:rFonts w:hint="eastAsia" w:ascii="仿宋_GB2312" w:eastAsia="仿宋_GB2312" w:cs="黑体"/>
          <w:color w:val="auto"/>
          <w:sz w:val="30"/>
          <w:szCs w:val="30"/>
        </w:rPr>
        <w:t>。具体情况如下：</w:t>
      </w:r>
    </w:p>
    <w:p>
      <w:pPr>
        <w:ind w:firstLine="600" w:firstLineChars="200"/>
        <w:rPr>
          <w:rFonts w:ascii="仿宋_GB2312" w:hAnsi="华文中宋" w:eastAsia="仿宋_GB2312" w:cs="黑体"/>
          <w:color w:val="auto"/>
          <w:sz w:val="30"/>
          <w:szCs w:val="30"/>
        </w:rPr>
      </w:pPr>
      <w:r>
        <w:rPr>
          <w:rFonts w:ascii="仿宋_GB2312" w:eastAsia="仿宋_GB2312" w:cs="黑体"/>
          <w:color w:val="auto"/>
          <w:sz w:val="30"/>
          <w:szCs w:val="30"/>
        </w:rPr>
        <w:t>1</w:t>
      </w:r>
      <w:r>
        <w:rPr>
          <w:rFonts w:hint="eastAsia" w:ascii="仿宋_GB2312" w:eastAsia="仿宋_GB2312" w:cs="黑体"/>
          <w:color w:val="auto"/>
          <w:sz w:val="30"/>
          <w:szCs w:val="30"/>
        </w:rPr>
        <w:t>、因公出国（境）费支出</w:t>
      </w:r>
      <w:r>
        <w:rPr>
          <w:rFonts w:ascii="仿宋_GB2312" w:eastAsia="仿宋_GB2312" w:cs="黑体"/>
          <w:color w:val="auto"/>
          <w:sz w:val="30"/>
          <w:szCs w:val="30"/>
        </w:rPr>
        <w:t>0</w:t>
      </w:r>
      <w:r>
        <w:rPr>
          <w:rFonts w:hint="eastAsia" w:ascii="仿宋_GB2312" w:eastAsia="仿宋_GB2312" w:cs="黑体"/>
          <w:color w:val="auto"/>
          <w:sz w:val="30"/>
          <w:szCs w:val="30"/>
        </w:rPr>
        <w:t>万元。全年安排因公出国（境）团组</w:t>
      </w:r>
      <w:r>
        <w:rPr>
          <w:rFonts w:ascii="仿宋_GB2312" w:eastAsia="仿宋_GB2312" w:cs="黑体"/>
          <w:color w:val="auto"/>
          <w:sz w:val="30"/>
          <w:szCs w:val="30"/>
        </w:rPr>
        <w:t>0</w:t>
      </w:r>
      <w:r>
        <w:rPr>
          <w:rFonts w:hint="eastAsia" w:ascii="仿宋_GB2312" w:eastAsia="仿宋_GB2312" w:cs="黑体"/>
          <w:color w:val="auto"/>
          <w:sz w:val="30"/>
          <w:szCs w:val="30"/>
        </w:rPr>
        <w:t>个、累计</w:t>
      </w:r>
      <w:r>
        <w:rPr>
          <w:rFonts w:ascii="仿宋_GB2312" w:eastAsia="仿宋_GB2312" w:cs="黑体"/>
          <w:color w:val="auto"/>
          <w:sz w:val="30"/>
          <w:szCs w:val="30"/>
        </w:rPr>
        <w:t>0</w:t>
      </w:r>
      <w:r>
        <w:rPr>
          <w:rFonts w:hint="eastAsia" w:ascii="仿宋_GB2312" w:eastAsia="仿宋_GB2312" w:cs="黑体"/>
          <w:color w:val="auto"/>
          <w:sz w:val="30"/>
          <w:szCs w:val="30"/>
        </w:rPr>
        <w:t>人次</w:t>
      </w:r>
      <w:r>
        <w:rPr>
          <w:rFonts w:hint="eastAsia" w:ascii="仿宋_GB2312" w:hAnsi="华文中宋" w:eastAsia="仿宋_GB2312" w:cs="黑体"/>
          <w:color w:val="auto"/>
          <w:sz w:val="30"/>
          <w:szCs w:val="30"/>
        </w:rPr>
        <w:t>。开支内容包括</w:t>
      </w:r>
      <w:r>
        <w:rPr>
          <w:rFonts w:hint="eastAsia" w:ascii="仿宋_GB2312"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2</w:t>
      </w:r>
      <w:r>
        <w:rPr>
          <w:rFonts w:hint="eastAsia" w:ascii="仿宋_GB2312" w:eastAsia="仿宋_GB2312" w:cs="黑体"/>
          <w:color w:val="auto"/>
          <w:sz w:val="30"/>
          <w:szCs w:val="30"/>
        </w:rPr>
        <w:t>、公务用车购置及运行费支出</w:t>
      </w:r>
      <w:r>
        <w:rPr>
          <w:rFonts w:hint="eastAsia" w:ascii="仿宋_GB2312" w:eastAsia="仿宋_GB2312" w:cs="黑体"/>
          <w:color w:val="auto"/>
          <w:sz w:val="30"/>
          <w:szCs w:val="30"/>
          <w:lang w:val="en-US" w:eastAsia="zh-CN"/>
        </w:rPr>
        <w:t>8.44</w:t>
      </w:r>
      <w:r>
        <w:rPr>
          <w:rFonts w:hint="eastAsia" w:ascii="仿宋_GB2312" w:eastAsia="仿宋_GB2312" w:cs="黑体"/>
          <w:color w:val="auto"/>
          <w:sz w:val="30"/>
          <w:szCs w:val="30"/>
        </w:rPr>
        <w:t>万元。其中：公务用车购置支出</w:t>
      </w:r>
      <w:r>
        <w:rPr>
          <w:rFonts w:ascii="仿宋_GB2312" w:eastAsia="仿宋_GB2312" w:cs="黑体"/>
          <w:color w:val="auto"/>
          <w:sz w:val="30"/>
          <w:szCs w:val="30"/>
        </w:rPr>
        <w:t>0</w:t>
      </w:r>
      <w:r>
        <w:rPr>
          <w:rFonts w:hint="eastAsia" w:ascii="仿宋_GB2312" w:eastAsia="仿宋_GB2312" w:cs="黑体"/>
          <w:color w:val="auto"/>
          <w:sz w:val="30"/>
          <w:szCs w:val="30"/>
        </w:rPr>
        <w:t>万元。购置公务用车</w:t>
      </w:r>
      <w:r>
        <w:rPr>
          <w:rFonts w:ascii="仿宋_GB2312" w:eastAsia="仿宋_GB2312" w:cs="黑体"/>
          <w:color w:val="auto"/>
          <w:sz w:val="30"/>
          <w:szCs w:val="30"/>
        </w:rPr>
        <w:t>0</w:t>
      </w:r>
      <w:r>
        <w:rPr>
          <w:rFonts w:hint="eastAsia" w:ascii="仿宋_GB2312" w:eastAsia="仿宋_GB2312" w:cs="黑体"/>
          <w:color w:val="auto"/>
          <w:sz w:val="30"/>
          <w:szCs w:val="30"/>
        </w:rPr>
        <w:t>辆。</w:t>
      </w:r>
    </w:p>
    <w:p>
      <w:pPr>
        <w:rPr>
          <w:rFonts w:hint="eastAsia" w:eastAsia="仿宋_GB2312" w:cs="黑体"/>
          <w:color w:val="auto"/>
          <w:sz w:val="30"/>
          <w:szCs w:val="30"/>
        </w:rPr>
      </w:pPr>
      <w:r>
        <w:rPr>
          <w:rFonts w:hint="eastAsia" w:eastAsia="仿宋_GB2312" w:cs="黑体"/>
          <w:color w:val="auto"/>
          <w:sz w:val="30"/>
          <w:szCs w:val="30"/>
        </w:rPr>
        <w:t>公务用车运行维护费支出</w:t>
      </w:r>
      <w:r>
        <w:rPr>
          <w:rFonts w:hint="eastAsia" w:ascii="仿宋_GB2312" w:eastAsia="仿宋_GB2312" w:cs="黑体"/>
          <w:color w:val="auto"/>
          <w:sz w:val="30"/>
          <w:szCs w:val="30"/>
          <w:lang w:val="en-US" w:eastAsia="zh-CN"/>
        </w:rPr>
        <w:t>8.44</w:t>
      </w:r>
      <w:r>
        <w:rPr>
          <w:rFonts w:hint="eastAsia" w:eastAsia="仿宋_GB2312" w:cs="黑体"/>
          <w:color w:val="auto"/>
          <w:sz w:val="30"/>
          <w:szCs w:val="30"/>
        </w:rPr>
        <w:t>万元。主要用于</w:t>
      </w:r>
      <w:r>
        <w:rPr>
          <w:rFonts w:hint="eastAsia" w:ascii="仿宋_GB2312" w:eastAsia="仿宋_GB2312" w:cs="黑体"/>
          <w:color w:val="auto"/>
          <w:sz w:val="30"/>
          <w:szCs w:val="30"/>
        </w:rPr>
        <w:t>应急车辆支出和办公用车及垃圾车支出</w:t>
      </w:r>
      <w:r>
        <w:rPr>
          <w:rFonts w:hint="eastAsia" w:eastAsia="仿宋_GB2312" w:cs="黑体"/>
          <w:color w:val="auto"/>
          <w:sz w:val="30"/>
          <w:szCs w:val="30"/>
        </w:rPr>
        <w:t>。</w:t>
      </w:r>
    </w:p>
    <w:p>
      <w:pPr>
        <w:ind w:firstLine="600" w:firstLineChars="200"/>
        <w:rPr>
          <w:rFonts w:hint="eastAsia" w:ascii="仿宋_GB2312" w:eastAsia="仿宋_GB2312" w:cs="黑体"/>
          <w:color w:val="auto"/>
          <w:sz w:val="30"/>
          <w:szCs w:val="30"/>
        </w:rPr>
      </w:pPr>
      <w:r>
        <w:rPr>
          <w:rFonts w:ascii="仿宋_GB2312" w:eastAsia="仿宋_GB2312" w:cs="黑体"/>
          <w:color w:val="auto"/>
          <w:sz w:val="30"/>
          <w:szCs w:val="30"/>
        </w:rPr>
        <w:t>3</w:t>
      </w:r>
      <w:r>
        <w:rPr>
          <w:rFonts w:hint="eastAsia" w:ascii="仿宋_GB2312" w:eastAsia="仿宋_GB2312" w:cs="黑体"/>
          <w:color w:val="auto"/>
          <w:sz w:val="30"/>
          <w:szCs w:val="30"/>
        </w:rPr>
        <w:t>、公务接待费支出</w:t>
      </w:r>
      <w:r>
        <w:rPr>
          <w:rFonts w:ascii="仿宋_GB2312" w:eastAsia="仿宋_GB2312" w:cs="黑体"/>
          <w:color w:val="auto"/>
          <w:sz w:val="30"/>
          <w:szCs w:val="30"/>
        </w:rPr>
        <w:t>5.9</w:t>
      </w:r>
      <w:r>
        <w:rPr>
          <w:rFonts w:hint="eastAsia" w:ascii="仿宋_GB2312" w:eastAsia="仿宋_GB2312" w:cs="黑体"/>
          <w:color w:val="auto"/>
          <w:sz w:val="30"/>
          <w:szCs w:val="30"/>
        </w:rPr>
        <w:t>万元。其中：国内接待费支出</w:t>
      </w:r>
      <w:r>
        <w:rPr>
          <w:rFonts w:ascii="仿宋_GB2312" w:eastAsia="仿宋_GB2312" w:cs="黑体"/>
          <w:color w:val="auto"/>
          <w:sz w:val="30"/>
          <w:szCs w:val="30"/>
        </w:rPr>
        <w:t>5.9</w:t>
      </w:r>
      <w:r>
        <w:rPr>
          <w:rFonts w:hint="eastAsia" w:ascii="仿宋_GB2312" w:eastAsia="仿宋_GB2312" w:cs="黑体"/>
          <w:color w:val="auto"/>
          <w:sz w:val="30"/>
          <w:szCs w:val="30"/>
        </w:rPr>
        <w:t>万（含外宾接待支出</w:t>
      </w:r>
      <w:r>
        <w:rPr>
          <w:rFonts w:ascii="仿宋_GB2312" w:eastAsia="仿宋_GB2312" w:cs="黑体"/>
          <w:color w:val="auto"/>
          <w:sz w:val="30"/>
          <w:szCs w:val="30"/>
        </w:rPr>
        <w:t>0</w:t>
      </w:r>
      <w:r>
        <w:rPr>
          <w:rFonts w:hint="eastAsia" w:ascii="仿宋_GB2312" w:eastAsia="仿宋_GB2312" w:cs="黑体"/>
          <w:color w:val="auto"/>
          <w:sz w:val="30"/>
          <w:szCs w:val="30"/>
        </w:rPr>
        <w:t>万元）。主要用于招商引资，全年公务接待共</w:t>
      </w:r>
      <w:r>
        <w:rPr>
          <w:rFonts w:ascii="仿宋_GB2312" w:eastAsia="仿宋_GB2312" w:cs="黑体"/>
          <w:color w:val="auto"/>
          <w:sz w:val="30"/>
          <w:szCs w:val="30"/>
        </w:rPr>
        <w:t>200</w:t>
      </w:r>
      <w:r>
        <w:rPr>
          <w:rFonts w:hint="eastAsia" w:ascii="仿宋_GB2312" w:eastAsia="仿宋_GB2312" w:cs="黑体"/>
          <w:color w:val="auto"/>
          <w:sz w:val="30"/>
          <w:szCs w:val="30"/>
        </w:rPr>
        <w:t>批次、</w:t>
      </w:r>
      <w:r>
        <w:rPr>
          <w:rFonts w:ascii="仿宋_GB2312" w:eastAsia="仿宋_GB2312" w:cs="黑体"/>
          <w:color w:val="auto"/>
          <w:sz w:val="30"/>
          <w:szCs w:val="30"/>
        </w:rPr>
        <w:t>1200</w:t>
      </w:r>
      <w:r>
        <w:rPr>
          <w:rFonts w:hint="eastAsia" w:ascii="仿宋_GB2312" w:eastAsia="仿宋_GB2312" w:cs="黑体"/>
          <w:color w:val="auto"/>
          <w:sz w:val="30"/>
          <w:szCs w:val="30"/>
        </w:rPr>
        <w:t>人次，其中：接待外宾</w:t>
      </w:r>
      <w:r>
        <w:rPr>
          <w:rFonts w:ascii="仿宋_GB2312" w:eastAsia="仿宋_GB2312" w:cs="黑体"/>
          <w:color w:val="auto"/>
          <w:sz w:val="30"/>
          <w:szCs w:val="30"/>
        </w:rPr>
        <w:t>0</w:t>
      </w:r>
      <w:r>
        <w:rPr>
          <w:rFonts w:hint="eastAsia" w:ascii="仿宋_GB2312" w:eastAsia="仿宋_GB2312" w:cs="黑体"/>
          <w:color w:val="auto"/>
          <w:sz w:val="30"/>
          <w:szCs w:val="30"/>
        </w:rPr>
        <w:t>批次、</w:t>
      </w:r>
      <w:r>
        <w:rPr>
          <w:rFonts w:ascii="仿宋_GB2312" w:eastAsia="仿宋_GB2312" w:cs="黑体"/>
          <w:color w:val="auto"/>
          <w:sz w:val="30"/>
          <w:szCs w:val="30"/>
        </w:rPr>
        <w:t>0</w:t>
      </w:r>
      <w:r>
        <w:rPr>
          <w:rFonts w:hint="eastAsia" w:ascii="仿宋_GB2312" w:eastAsia="仿宋_GB2312" w:cs="黑体"/>
          <w:color w:val="auto"/>
          <w:sz w:val="30"/>
          <w:szCs w:val="30"/>
        </w:rPr>
        <w:t>人次。</w:t>
      </w:r>
    </w:p>
    <w:p>
      <w:pPr>
        <w:rPr>
          <w:rFonts w:hint="eastAsia" w:ascii="仿宋_GB2312" w:eastAsia="仿宋_GB2312" w:cs="黑体"/>
          <w:color w:val="auto"/>
          <w:sz w:val="30"/>
          <w:szCs w:val="30"/>
        </w:rPr>
      </w:pPr>
      <w:r>
        <w:rPr>
          <w:rFonts w:hint="eastAsia" w:ascii="仿宋_GB2312" w:eastAsia="仿宋_GB2312" w:cs="黑体"/>
          <w:color w:val="auto"/>
          <w:sz w:val="30"/>
          <w:szCs w:val="30"/>
        </w:rPr>
        <w:t>国（境）外接待费支出</w:t>
      </w:r>
      <w:r>
        <w:rPr>
          <w:rFonts w:ascii="仿宋_GB2312" w:eastAsia="仿宋_GB2312" w:cs="黑体"/>
          <w:color w:val="auto"/>
          <w:sz w:val="30"/>
          <w:szCs w:val="30"/>
        </w:rPr>
        <w:t>0</w:t>
      </w:r>
      <w:r>
        <w:rPr>
          <w:rFonts w:hint="eastAsia" w:ascii="仿宋_GB2312" w:eastAsia="仿宋_GB2312" w:cs="黑体"/>
          <w:color w:val="auto"/>
          <w:sz w:val="30"/>
          <w:szCs w:val="30"/>
        </w:rPr>
        <w:t>万元，主要用于，全年公务接待共批</w:t>
      </w:r>
      <w:r>
        <w:rPr>
          <w:rFonts w:ascii="仿宋_GB2312" w:eastAsia="仿宋_GB2312" w:cs="黑体"/>
          <w:color w:val="auto"/>
          <w:sz w:val="30"/>
          <w:szCs w:val="30"/>
        </w:rPr>
        <w:t>0</w:t>
      </w:r>
      <w:r>
        <w:rPr>
          <w:rFonts w:hint="eastAsia" w:ascii="仿宋_GB2312" w:eastAsia="仿宋_GB2312" w:cs="黑体"/>
          <w:color w:val="auto"/>
          <w:sz w:val="30"/>
          <w:szCs w:val="30"/>
        </w:rPr>
        <w:t>次、</w:t>
      </w:r>
      <w:r>
        <w:rPr>
          <w:rFonts w:ascii="仿宋_GB2312" w:eastAsia="仿宋_GB2312" w:cs="黑体"/>
          <w:color w:val="auto"/>
          <w:sz w:val="30"/>
          <w:szCs w:val="30"/>
        </w:rPr>
        <w:t>0</w:t>
      </w:r>
      <w:r>
        <w:rPr>
          <w:rFonts w:hint="eastAsia" w:ascii="仿宋_GB2312" w:eastAsia="仿宋_GB2312" w:cs="黑体"/>
          <w:color w:val="auto"/>
          <w:sz w:val="30"/>
          <w:szCs w:val="30"/>
        </w:rPr>
        <w:t>人次。</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八、关于</w:t>
      </w:r>
      <w:r>
        <w:rPr>
          <w:rFonts w:hint="eastAsia" w:ascii="楷体_GB2312" w:hAnsi="宋体" w:eastAsia="楷体_GB2312" w:cs="黑体"/>
          <w:b/>
          <w:color w:val="auto"/>
          <w:sz w:val="30"/>
          <w:szCs w:val="30"/>
        </w:rPr>
        <w:t>庄河市荷花山镇人民政府</w:t>
      </w:r>
      <w:r>
        <w:rPr>
          <w:rFonts w:hint="eastAsia" w:ascii="楷体_GB2312" w:eastAsia="楷体_GB2312" w:cs="黑体"/>
          <w:b/>
          <w:color w:val="auto"/>
          <w:sz w:val="30"/>
          <w:szCs w:val="30"/>
          <w:lang w:eastAsia="zh-CN"/>
        </w:rPr>
        <w:t>2020</w:t>
      </w:r>
      <w:r>
        <w:rPr>
          <w:rFonts w:hint="eastAsia" w:ascii="楷体_GB2312" w:eastAsia="楷体_GB2312" w:cs="黑体"/>
          <w:b/>
          <w:color w:val="auto"/>
          <w:sz w:val="30"/>
          <w:szCs w:val="30"/>
        </w:rPr>
        <w:t>年度政府性基金预算财政拨款收入支出决算情况说明</w:t>
      </w:r>
    </w:p>
    <w:p>
      <w:pPr>
        <w:ind w:firstLine="600" w:firstLineChars="200"/>
        <w:rPr>
          <w:rFonts w:hint="eastAsia" w:ascii="仿宋_GB2312" w:eastAsia="仿宋_GB2312" w:cs="黑体"/>
          <w:color w:val="auto"/>
          <w:sz w:val="30"/>
          <w:szCs w:val="30"/>
        </w:rPr>
      </w:pPr>
      <w:r>
        <w:rPr>
          <w:rFonts w:hint="eastAsia" w:ascii="仿宋_GB2312" w:hAnsi="宋体" w:eastAsia="仿宋_GB2312" w:cs="黑体"/>
          <w:color w:val="auto"/>
          <w:sz w:val="30"/>
          <w:szCs w:val="30"/>
        </w:rPr>
        <w:t>庄河市人民政府荷花山镇人民政府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年度政府性基金预算财政拨款上年结转和结余</w:t>
      </w:r>
      <w:r>
        <w:rPr>
          <w:rFonts w:ascii="仿宋_GB2312" w:eastAsia="仿宋_GB2312" w:cs="黑体"/>
          <w:color w:val="auto"/>
          <w:sz w:val="30"/>
          <w:szCs w:val="30"/>
        </w:rPr>
        <w:t>0</w:t>
      </w:r>
      <w:r>
        <w:rPr>
          <w:rFonts w:hint="eastAsia" w:ascii="仿宋_GB2312" w:eastAsia="仿宋_GB2312" w:cs="黑体"/>
          <w:color w:val="auto"/>
          <w:sz w:val="30"/>
          <w:szCs w:val="30"/>
        </w:rPr>
        <w:t>万元，本年收入</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万元，本年支出</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万元，年末结转和结余</w:t>
      </w:r>
      <w:r>
        <w:rPr>
          <w:rFonts w:ascii="仿宋_GB2312" w:eastAsia="仿宋_GB2312" w:cs="黑体"/>
          <w:color w:val="auto"/>
          <w:sz w:val="30"/>
          <w:szCs w:val="30"/>
        </w:rPr>
        <w:t>0</w:t>
      </w:r>
      <w:r>
        <w:rPr>
          <w:rFonts w:hint="eastAsia" w:ascii="仿宋_GB2312" w:eastAsia="仿宋_GB2312" w:cs="黑体"/>
          <w:color w:val="auto"/>
          <w:sz w:val="30"/>
          <w:szCs w:val="30"/>
        </w:rPr>
        <w:t>万元。</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九、其他重要事项的情况说明</w:t>
      </w:r>
    </w:p>
    <w:p>
      <w:pPr>
        <w:outlineLvl w:val="0"/>
        <w:rPr>
          <w:rFonts w:hint="eastAsia" w:ascii="楷体_GB2312" w:eastAsia="楷体_GB2312" w:cs="黑体"/>
          <w:b/>
          <w:color w:val="auto"/>
          <w:sz w:val="30"/>
          <w:szCs w:val="30"/>
        </w:rPr>
      </w:pPr>
      <w:r>
        <w:rPr>
          <w:rFonts w:hint="eastAsia" w:ascii="楷体_GB2312" w:eastAsia="楷体_GB2312" w:cs="黑体"/>
          <w:b/>
          <w:color w:val="auto"/>
          <w:sz w:val="30"/>
          <w:szCs w:val="30"/>
        </w:rPr>
        <w:t>（一）机关运行经费支出情况</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rPr>
        <w:t>庄河市人民政府荷花山镇人民政府</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年度机关运行经费支出</w:t>
      </w:r>
      <w:r>
        <w:rPr>
          <w:rFonts w:hint="eastAsia" w:ascii="仿宋_GB2312" w:eastAsia="仿宋_GB2312" w:cs="黑体"/>
          <w:color w:val="auto"/>
          <w:sz w:val="30"/>
          <w:szCs w:val="30"/>
          <w:lang w:val="en-US" w:eastAsia="zh-CN"/>
        </w:rPr>
        <w:t>206.41</w:t>
      </w:r>
      <w:r>
        <w:rPr>
          <w:rFonts w:hint="eastAsia" w:ascii="仿宋_GB2312" w:eastAsia="仿宋_GB2312" w:cs="黑体"/>
          <w:color w:val="auto"/>
          <w:sz w:val="30"/>
          <w:szCs w:val="30"/>
        </w:rPr>
        <w:t>万元，比</w:t>
      </w:r>
      <w:r>
        <w:rPr>
          <w:rFonts w:hint="eastAsia" w:ascii="仿宋_GB2312" w:eastAsia="仿宋_GB2312" w:cs="黑体"/>
          <w:color w:val="auto"/>
          <w:sz w:val="30"/>
          <w:szCs w:val="30"/>
          <w:lang w:eastAsia="zh-CN"/>
        </w:rPr>
        <w:t>2019</w:t>
      </w:r>
      <w:r>
        <w:rPr>
          <w:rFonts w:hint="eastAsia" w:ascii="仿宋_GB2312" w:eastAsia="仿宋_GB2312" w:cs="黑体"/>
          <w:color w:val="auto"/>
          <w:sz w:val="30"/>
          <w:szCs w:val="30"/>
        </w:rPr>
        <w:t>年度减少</w:t>
      </w:r>
      <w:r>
        <w:rPr>
          <w:rFonts w:hint="eastAsia" w:ascii="仿宋_GB2312" w:eastAsia="仿宋_GB2312" w:cs="黑体"/>
          <w:color w:val="auto"/>
          <w:sz w:val="30"/>
          <w:szCs w:val="30"/>
          <w:lang w:val="en-US" w:eastAsia="zh-CN"/>
        </w:rPr>
        <w:t>36.45</w:t>
      </w:r>
      <w:r>
        <w:rPr>
          <w:rFonts w:hint="eastAsia" w:ascii="仿宋_GB2312" w:eastAsia="仿宋_GB2312" w:cs="黑体"/>
          <w:color w:val="auto"/>
          <w:sz w:val="30"/>
          <w:szCs w:val="30"/>
        </w:rPr>
        <w:t>万元，下降</w:t>
      </w:r>
      <w:r>
        <w:rPr>
          <w:rFonts w:hint="eastAsia" w:ascii="仿宋_GB2312" w:eastAsia="仿宋_GB2312" w:cs="黑体"/>
          <w:color w:val="auto"/>
          <w:sz w:val="30"/>
          <w:szCs w:val="30"/>
          <w:lang w:val="en-US" w:eastAsia="zh-CN"/>
        </w:rPr>
        <w:t>15.01</w:t>
      </w:r>
      <w:r>
        <w:rPr>
          <w:rFonts w:ascii="仿宋_GB2312" w:eastAsia="仿宋_GB2312" w:cs="黑体"/>
          <w:color w:val="auto"/>
          <w:sz w:val="30"/>
          <w:szCs w:val="30"/>
        </w:rPr>
        <w:t>%</w:t>
      </w:r>
      <w:r>
        <w:rPr>
          <w:rFonts w:hint="eastAsia" w:ascii="仿宋_GB2312" w:eastAsia="仿宋_GB2312" w:cs="黑体"/>
          <w:color w:val="auto"/>
          <w:sz w:val="30"/>
          <w:szCs w:val="30"/>
        </w:rPr>
        <w:t>。主要原因是：严格控制公用经费支出。</w:t>
      </w:r>
    </w:p>
    <w:p>
      <w:pPr>
        <w:widowControl/>
        <w:jc w:val="left"/>
        <w:outlineLvl w:val="0"/>
        <w:rPr>
          <w:rFonts w:ascii="楷体_GB2312" w:hAnsi="宋体" w:eastAsia="楷体_GB2312" w:cs="楷体"/>
          <w:b/>
          <w:bCs/>
          <w:color w:val="auto"/>
          <w:kern w:val="0"/>
          <w:sz w:val="30"/>
          <w:szCs w:val="30"/>
        </w:rPr>
      </w:pPr>
      <w:r>
        <w:rPr>
          <w:rFonts w:hint="eastAsia" w:ascii="楷体_GB2312" w:hAnsi="宋体" w:eastAsia="楷体_GB2312" w:cs="楷体"/>
          <w:b/>
          <w:bCs/>
          <w:color w:val="auto"/>
          <w:kern w:val="0"/>
          <w:sz w:val="30"/>
          <w:szCs w:val="30"/>
        </w:rPr>
        <w:t>（</w:t>
      </w:r>
      <w:r>
        <w:rPr>
          <w:rFonts w:hint="eastAsia" w:ascii="楷体_GB2312" w:hAnsi="宋体" w:eastAsia="楷体_GB2312" w:cs="楷体"/>
          <w:b/>
          <w:bCs/>
          <w:color w:val="auto"/>
          <w:kern w:val="0"/>
          <w:sz w:val="30"/>
          <w:szCs w:val="30"/>
          <w:lang w:val="en-US" w:eastAsia="zh-CN"/>
        </w:rPr>
        <w:t>二</w:t>
      </w:r>
      <w:r>
        <w:rPr>
          <w:rFonts w:hint="eastAsia" w:ascii="楷体_GB2312" w:hAnsi="宋体" w:eastAsia="楷体_GB2312" w:cs="楷体"/>
          <w:b/>
          <w:bCs/>
          <w:color w:val="auto"/>
          <w:kern w:val="0"/>
          <w:sz w:val="30"/>
          <w:szCs w:val="30"/>
        </w:rPr>
        <w:t>）</w:t>
      </w:r>
      <w:r>
        <w:rPr>
          <w:rFonts w:hint="eastAsia" w:ascii="楷体_GB2312" w:eastAsia="楷体_GB2312" w:cs="黑体"/>
          <w:b/>
          <w:color w:val="auto"/>
          <w:sz w:val="30"/>
          <w:szCs w:val="30"/>
        </w:rPr>
        <w:t>国有资产占有使用情况说明</w:t>
      </w:r>
    </w:p>
    <w:p>
      <w:pPr>
        <w:ind w:firstLine="600" w:firstLineChars="200"/>
        <w:rPr>
          <w:rFonts w:hint="eastAsia" w:ascii="仿宋_GB2312" w:eastAsia="仿宋_GB2312" w:cs="黑体"/>
          <w:color w:val="auto"/>
          <w:sz w:val="30"/>
          <w:szCs w:val="30"/>
        </w:rPr>
      </w:pPr>
      <w:r>
        <w:rPr>
          <w:rFonts w:hint="eastAsia" w:ascii="仿宋_GB2312" w:eastAsia="仿宋_GB2312" w:cs="黑体"/>
          <w:color w:val="auto"/>
          <w:sz w:val="30"/>
          <w:szCs w:val="30"/>
        </w:rPr>
        <w:t>国有资产占有使用情况说明为：截至</w:t>
      </w:r>
      <w:r>
        <w:rPr>
          <w:rFonts w:hint="eastAsia" w:ascii="仿宋_GB2312" w:eastAsia="仿宋_GB2312" w:cs="黑体"/>
          <w:color w:val="auto"/>
          <w:sz w:val="30"/>
          <w:szCs w:val="30"/>
          <w:lang w:eastAsia="zh-CN"/>
        </w:rPr>
        <w:t>2020</w:t>
      </w:r>
      <w:r>
        <w:rPr>
          <w:rFonts w:hint="eastAsia" w:ascii="仿宋_GB2312" w:eastAsia="仿宋_GB2312" w:cs="黑体"/>
          <w:color w:val="auto"/>
          <w:sz w:val="30"/>
          <w:szCs w:val="30"/>
        </w:rPr>
        <w:t>年</w:t>
      </w:r>
      <w:r>
        <w:rPr>
          <w:rFonts w:ascii="仿宋_GB2312" w:eastAsia="仿宋_GB2312" w:cs="黑体"/>
          <w:color w:val="auto"/>
          <w:sz w:val="30"/>
          <w:szCs w:val="30"/>
        </w:rPr>
        <w:t>12</w:t>
      </w:r>
      <w:r>
        <w:rPr>
          <w:rFonts w:hint="eastAsia" w:ascii="仿宋_GB2312" w:eastAsia="仿宋_GB2312" w:cs="黑体"/>
          <w:color w:val="auto"/>
          <w:sz w:val="30"/>
          <w:szCs w:val="30"/>
        </w:rPr>
        <w:t>月</w:t>
      </w:r>
      <w:r>
        <w:rPr>
          <w:rFonts w:ascii="仿宋_GB2312" w:eastAsia="仿宋_GB2312" w:cs="黑体"/>
          <w:color w:val="auto"/>
          <w:sz w:val="30"/>
          <w:szCs w:val="30"/>
        </w:rPr>
        <w:t>31</w:t>
      </w:r>
      <w:r>
        <w:rPr>
          <w:rFonts w:hint="eastAsia" w:ascii="仿宋_GB2312" w:eastAsia="仿宋_GB2312" w:cs="黑体"/>
          <w:color w:val="auto"/>
          <w:sz w:val="30"/>
          <w:szCs w:val="30"/>
        </w:rPr>
        <w:t>日，部门（单位）共有车辆</w:t>
      </w:r>
      <w:r>
        <w:rPr>
          <w:rFonts w:hint="eastAsia" w:ascii="仿宋_GB2312" w:eastAsia="仿宋_GB2312" w:cs="黑体"/>
          <w:color w:val="auto"/>
          <w:sz w:val="30"/>
          <w:szCs w:val="30"/>
          <w:lang w:val="en-US" w:eastAsia="zh-CN"/>
        </w:rPr>
        <w:t>2</w:t>
      </w:r>
      <w:r>
        <w:rPr>
          <w:rFonts w:hint="eastAsia" w:ascii="仿宋_GB2312" w:eastAsia="仿宋_GB2312" w:cs="黑体"/>
          <w:color w:val="auto"/>
          <w:sz w:val="30"/>
          <w:szCs w:val="30"/>
        </w:rPr>
        <w:t>辆，其中，副部（省）级以上领导用车</w:t>
      </w:r>
      <w:r>
        <w:rPr>
          <w:rFonts w:ascii="仿宋_GB2312" w:eastAsia="仿宋_GB2312" w:cs="黑体"/>
          <w:color w:val="auto"/>
          <w:sz w:val="30"/>
          <w:szCs w:val="30"/>
        </w:rPr>
        <w:t>0</w:t>
      </w:r>
      <w:r>
        <w:rPr>
          <w:rFonts w:hint="eastAsia" w:ascii="仿宋_GB2312" w:eastAsia="仿宋_GB2312" w:cs="黑体"/>
          <w:color w:val="auto"/>
          <w:sz w:val="30"/>
          <w:szCs w:val="30"/>
        </w:rPr>
        <w:t>辆、主要领导干部用车</w:t>
      </w:r>
      <w:r>
        <w:rPr>
          <w:rFonts w:ascii="仿宋_GB2312" w:eastAsia="仿宋_GB2312" w:cs="黑体"/>
          <w:color w:val="auto"/>
          <w:sz w:val="30"/>
          <w:szCs w:val="30"/>
        </w:rPr>
        <w:t>0</w:t>
      </w:r>
      <w:r>
        <w:rPr>
          <w:rFonts w:hint="eastAsia" w:ascii="仿宋_GB2312" w:eastAsia="仿宋_GB2312" w:cs="黑体"/>
          <w:color w:val="auto"/>
          <w:sz w:val="30"/>
          <w:szCs w:val="30"/>
        </w:rPr>
        <w:t>辆、机要通信用车</w:t>
      </w:r>
      <w:r>
        <w:rPr>
          <w:rFonts w:ascii="仿宋_GB2312" w:eastAsia="仿宋_GB2312" w:cs="黑体"/>
          <w:color w:val="auto"/>
          <w:sz w:val="30"/>
          <w:szCs w:val="30"/>
        </w:rPr>
        <w:t>0</w:t>
      </w:r>
      <w:r>
        <w:rPr>
          <w:rFonts w:hint="eastAsia" w:ascii="仿宋_GB2312" w:eastAsia="仿宋_GB2312" w:cs="黑体"/>
          <w:color w:val="auto"/>
          <w:sz w:val="30"/>
          <w:szCs w:val="30"/>
        </w:rPr>
        <w:t>辆、应急保障用车</w:t>
      </w:r>
      <w:r>
        <w:rPr>
          <w:rFonts w:hint="eastAsia" w:ascii="仿宋_GB2312" w:eastAsia="仿宋_GB2312" w:cs="黑体"/>
          <w:color w:val="auto"/>
          <w:sz w:val="30"/>
          <w:szCs w:val="30"/>
          <w:lang w:val="en-US" w:eastAsia="zh-CN"/>
        </w:rPr>
        <w:t>0</w:t>
      </w:r>
      <w:r>
        <w:rPr>
          <w:rFonts w:hint="eastAsia" w:ascii="仿宋_GB2312" w:eastAsia="仿宋_GB2312" w:cs="黑体"/>
          <w:color w:val="auto"/>
          <w:sz w:val="30"/>
          <w:szCs w:val="30"/>
        </w:rPr>
        <w:t>辆、执法执勤用车</w:t>
      </w:r>
      <w:r>
        <w:rPr>
          <w:rFonts w:ascii="仿宋_GB2312" w:eastAsia="仿宋_GB2312" w:cs="黑体"/>
          <w:color w:val="auto"/>
          <w:sz w:val="30"/>
          <w:szCs w:val="30"/>
        </w:rPr>
        <w:t>0</w:t>
      </w:r>
      <w:r>
        <w:rPr>
          <w:rFonts w:hint="eastAsia" w:ascii="仿宋_GB2312" w:eastAsia="仿宋_GB2312" w:cs="黑体"/>
          <w:color w:val="auto"/>
          <w:sz w:val="30"/>
          <w:szCs w:val="30"/>
        </w:rPr>
        <w:t>辆、特种专业技术用车</w:t>
      </w:r>
      <w:r>
        <w:rPr>
          <w:rFonts w:ascii="仿宋_GB2312" w:eastAsia="仿宋_GB2312" w:cs="黑体"/>
          <w:color w:val="auto"/>
          <w:sz w:val="30"/>
          <w:szCs w:val="30"/>
        </w:rPr>
        <w:t>0</w:t>
      </w:r>
      <w:r>
        <w:rPr>
          <w:rFonts w:hint="eastAsia" w:ascii="仿宋_GB2312" w:eastAsia="仿宋_GB2312" w:cs="黑体"/>
          <w:color w:val="auto"/>
          <w:sz w:val="30"/>
          <w:szCs w:val="30"/>
        </w:rPr>
        <w:t>辆、离退休干部用车、其他用车</w:t>
      </w:r>
      <w:r>
        <w:rPr>
          <w:rFonts w:ascii="仿宋_GB2312" w:eastAsia="仿宋_GB2312" w:cs="黑体"/>
          <w:color w:val="auto"/>
          <w:sz w:val="30"/>
          <w:szCs w:val="30"/>
        </w:rPr>
        <w:t>2</w:t>
      </w:r>
      <w:r>
        <w:rPr>
          <w:rFonts w:hint="eastAsia" w:ascii="仿宋_GB2312" w:eastAsia="仿宋_GB2312" w:cs="黑体"/>
          <w:color w:val="auto"/>
          <w:sz w:val="30"/>
          <w:szCs w:val="30"/>
        </w:rPr>
        <w:t>辆，其他用车主要是环卫用车；单位价值</w:t>
      </w:r>
      <w:r>
        <w:rPr>
          <w:rFonts w:ascii="仿宋_GB2312" w:eastAsia="仿宋_GB2312" w:cs="黑体"/>
          <w:color w:val="auto"/>
          <w:sz w:val="30"/>
          <w:szCs w:val="30"/>
        </w:rPr>
        <w:t>50</w:t>
      </w:r>
      <w:r>
        <w:rPr>
          <w:rFonts w:hint="eastAsia" w:ascii="仿宋_GB2312" w:eastAsia="仿宋_GB2312" w:cs="黑体"/>
          <w:color w:val="auto"/>
          <w:sz w:val="30"/>
          <w:szCs w:val="30"/>
        </w:rPr>
        <w:t>万元（含）以上通用设备</w:t>
      </w:r>
      <w:r>
        <w:rPr>
          <w:rFonts w:ascii="仿宋_GB2312" w:eastAsia="仿宋_GB2312" w:cs="黑体"/>
          <w:color w:val="auto"/>
          <w:sz w:val="30"/>
          <w:szCs w:val="30"/>
        </w:rPr>
        <w:t>0</w:t>
      </w:r>
      <w:r>
        <w:rPr>
          <w:rFonts w:hint="eastAsia" w:ascii="仿宋_GB2312" w:eastAsia="仿宋_GB2312" w:cs="黑体"/>
          <w:color w:val="auto"/>
          <w:sz w:val="30"/>
          <w:szCs w:val="30"/>
        </w:rPr>
        <w:t>台（套）；单位价值</w:t>
      </w:r>
      <w:r>
        <w:rPr>
          <w:rFonts w:ascii="仿宋_GB2312" w:eastAsia="仿宋_GB2312" w:cs="黑体"/>
          <w:color w:val="auto"/>
          <w:sz w:val="30"/>
          <w:szCs w:val="30"/>
        </w:rPr>
        <w:t>100</w:t>
      </w:r>
      <w:r>
        <w:rPr>
          <w:rFonts w:hint="eastAsia" w:ascii="仿宋_GB2312" w:eastAsia="仿宋_GB2312" w:cs="黑体"/>
          <w:color w:val="auto"/>
          <w:sz w:val="30"/>
          <w:szCs w:val="30"/>
        </w:rPr>
        <w:t>万元以上专用设备</w:t>
      </w:r>
      <w:r>
        <w:rPr>
          <w:rFonts w:ascii="仿宋_GB2312" w:eastAsia="仿宋_GB2312" w:cs="黑体"/>
          <w:color w:val="auto"/>
          <w:sz w:val="30"/>
          <w:szCs w:val="30"/>
        </w:rPr>
        <w:t>0</w:t>
      </w:r>
      <w:r>
        <w:rPr>
          <w:rFonts w:hint="eastAsia" w:ascii="仿宋_GB2312" w:eastAsia="仿宋_GB2312" w:cs="黑体"/>
          <w:color w:val="auto"/>
          <w:sz w:val="30"/>
          <w:szCs w:val="30"/>
        </w:rPr>
        <w:t>台（套）。</w:t>
      </w:r>
    </w:p>
    <w:p>
      <w:pPr>
        <w:widowControl/>
        <w:jc w:val="left"/>
        <w:outlineLvl w:val="0"/>
        <w:rPr>
          <w:rFonts w:hint="eastAsia" w:ascii="宋体" w:cs="宋体"/>
          <w:color w:val="auto"/>
          <w:kern w:val="0"/>
          <w:sz w:val="24"/>
        </w:rPr>
      </w:pPr>
      <w:r>
        <w:rPr>
          <w:rFonts w:hint="eastAsia" w:ascii="楷体_GB2312" w:hAnsi="宋体" w:eastAsia="楷体_GB2312" w:cs="楷体"/>
          <w:b/>
          <w:bCs/>
          <w:color w:val="auto"/>
          <w:kern w:val="0"/>
          <w:sz w:val="30"/>
          <w:szCs w:val="30"/>
        </w:rPr>
        <w:t>（</w:t>
      </w:r>
      <w:r>
        <w:rPr>
          <w:rFonts w:hint="eastAsia" w:ascii="楷体_GB2312" w:hAnsi="宋体" w:eastAsia="楷体_GB2312" w:cs="楷体"/>
          <w:b/>
          <w:bCs/>
          <w:color w:val="auto"/>
          <w:kern w:val="0"/>
          <w:sz w:val="30"/>
          <w:szCs w:val="30"/>
          <w:lang w:val="en-US" w:eastAsia="zh-CN"/>
        </w:rPr>
        <w:t>三</w:t>
      </w:r>
      <w:r>
        <w:rPr>
          <w:rFonts w:hint="eastAsia" w:ascii="楷体_GB2312" w:hAnsi="宋体" w:eastAsia="楷体_GB2312" w:cs="楷体"/>
          <w:b/>
          <w:bCs/>
          <w:color w:val="auto"/>
          <w:kern w:val="0"/>
          <w:sz w:val="30"/>
          <w:szCs w:val="30"/>
        </w:rPr>
        <w:t>）预算绩效管理情况</w:t>
      </w:r>
    </w:p>
    <w:p>
      <w:pPr>
        <w:autoSpaceDE w:val="0"/>
        <w:autoSpaceDN w:val="0"/>
        <w:adjustRightInd w:val="0"/>
        <w:ind w:firstLine="600" w:firstLineChars="200"/>
        <w:rPr>
          <w:rFonts w:ascii="仿宋_GB2312" w:hAnsi="Times New Roman" w:eastAsia="仿宋_GB2312"/>
          <w:color w:val="auto"/>
          <w:kern w:val="0"/>
          <w:sz w:val="30"/>
          <w:szCs w:val="30"/>
        </w:rPr>
      </w:pPr>
      <w:r>
        <w:rPr>
          <w:rFonts w:hint="eastAsia" w:ascii="仿宋_GB2312" w:eastAsia="仿宋_GB2312"/>
          <w:color w:val="auto"/>
          <w:sz w:val="30"/>
          <w:szCs w:val="30"/>
        </w:rPr>
        <w:t>本部门</w:t>
      </w:r>
      <w:r>
        <w:rPr>
          <w:rFonts w:hint="eastAsia" w:ascii="仿宋_GB2312" w:eastAsia="仿宋_GB2312"/>
          <w:color w:val="auto"/>
          <w:sz w:val="30"/>
          <w:szCs w:val="30"/>
          <w:lang w:eastAsia="zh-CN"/>
        </w:rPr>
        <w:t>2020</w:t>
      </w:r>
      <w:r>
        <w:rPr>
          <w:rFonts w:hint="eastAsia" w:ascii="仿宋_GB2312" w:eastAsia="仿宋_GB2312"/>
          <w:color w:val="auto"/>
          <w:sz w:val="30"/>
          <w:szCs w:val="30"/>
        </w:rPr>
        <w:t>年度项目未纳入绩效评价范围。</w:t>
      </w:r>
    </w:p>
    <w:p>
      <w:pPr>
        <w:jc w:val="center"/>
        <w:rPr>
          <w:rFonts w:hint="eastAsia" w:ascii="黑体" w:eastAsia="黑体" w:cs="黑体"/>
          <w:color w:val="auto"/>
          <w:sz w:val="30"/>
          <w:szCs w:val="30"/>
        </w:rPr>
      </w:pPr>
      <w:r>
        <w:rPr>
          <w:rFonts w:ascii="黑体" w:eastAsia="黑体" w:cs="黑体"/>
          <w:color w:val="auto"/>
          <w:sz w:val="30"/>
          <w:szCs w:val="30"/>
        </w:rPr>
        <w:br w:type="page"/>
      </w:r>
      <w:r>
        <w:rPr>
          <w:rFonts w:hint="eastAsia" w:ascii="黑体" w:eastAsia="黑体" w:cs="黑体"/>
          <w:color w:val="auto"/>
          <w:sz w:val="30"/>
          <w:szCs w:val="30"/>
        </w:rPr>
        <w:t>第四部分</w:t>
      </w:r>
      <w:r>
        <w:rPr>
          <w:rFonts w:ascii="黑体" w:eastAsia="黑体" w:cs="黑体"/>
          <w:color w:val="auto"/>
          <w:sz w:val="30"/>
          <w:szCs w:val="30"/>
        </w:rPr>
        <w:t xml:space="preserve">    </w:t>
      </w:r>
      <w:r>
        <w:rPr>
          <w:rFonts w:hint="eastAsia" w:ascii="黑体" w:eastAsia="黑体" w:cs="黑体"/>
          <w:color w:val="auto"/>
          <w:sz w:val="30"/>
          <w:szCs w:val="30"/>
        </w:rPr>
        <w:t>名词解释</w:t>
      </w:r>
    </w:p>
    <w:p>
      <w:pPr>
        <w:rPr>
          <w:rFonts w:ascii="仿宋_GB2312" w:hAnsi="宋体" w:eastAsia="仿宋_GB2312" w:cs="仿宋_GB2312"/>
          <w:color w:val="auto"/>
          <w:sz w:val="30"/>
          <w:szCs w:val="30"/>
        </w:rPr>
      </w:pPr>
    </w:p>
    <w:p>
      <w:pPr>
        <w:rPr>
          <w:rFonts w:hint="eastAsia" w:ascii="仿宋_GB2312" w:eastAsia="仿宋_GB2312" w:cs="黑体"/>
          <w:color w:val="auto"/>
          <w:sz w:val="30"/>
          <w:szCs w:val="30"/>
        </w:rPr>
      </w:pPr>
      <w:r>
        <w:rPr>
          <w:rFonts w:hint="eastAsia" w:ascii="仿宋_GB2312" w:eastAsia="仿宋_GB2312" w:cs="黑体"/>
          <w:color w:val="auto"/>
          <w:sz w:val="30"/>
          <w:szCs w:val="30"/>
        </w:rPr>
        <w:t>一、财政拨款收入：指单位本年度从本级财政部门取得的财政拨款，包括一般公共预算财政拨款和政府性基金预算财政拨款。</w:t>
      </w:r>
    </w:p>
    <w:p>
      <w:pPr>
        <w:rPr>
          <w:rFonts w:hint="eastAsia" w:ascii="仿宋_GB2312" w:eastAsia="仿宋_GB2312" w:cs="黑体"/>
          <w:color w:val="auto"/>
          <w:sz w:val="30"/>
          <w:szCs w:val="30"/>
        </w:rPr>
      </w:pPr>
      <w:r>
        <w:rPr>
          <w:rFonts w:hint="eastAsia" w:ascii="仿宋_GB2312" w:eastAsia="仿宋_GB2312" w:cs="黑体"/>
          <w:color w:val="auto"/>
          <w:sz w:val="30"/>
          <w:szCs w:val="30"/>
        </w:rPr>
        <w:t>二、事业收入：指事业单位开展专业业务活动及其辅助活动取得的收入。主要是：城乡环境卫生收入、小学教育。</w:t>
      </w:r>
    </w:p>
    <w:p>
      <w:pPr>
        <w:rPr>
          <w:rFonts w:hint="eastAsia" w:ascii="仿宋_GB2312" w:eastAsia="仿宋_GB2312" w:cs="黑体"/>
          <w:color w:val="auto"/>
          <w:sz w:val="30"/>
          <w:szCs w:val="30"/>
        </w:rPr>
      </w:pPr>
      <w:r>
        <w:rPr>
          <w:rFonts w:hint="eastAsia" w:ascii="仿宋_GB2312" w:eastAsia="仿宋_GB2312" w:cs="黑体"/>
          <w:color w:val="auto"/>
          <w:sz w:val="30"/>
          <w:szCs w:val="30"/>
        </w:rPr>
        <w:t>三、经营收入：指事业单位在专业业务活动及其辅助活动之外开展非独立核算经营活动取得的收入。</w:t>
      </w:r>
    </w:p>
    <w:p>
      <w:pPr>
        <w:rPr>
          <w:rFonts w:hint="eastAsia" w:ascii="仿宋_GB2312" w:eastAsia="仿宋_GB2312" w:cs="黑体"/>
          <w:color w:val="auto"/>
          <w:sz w:val="30"/>
          <w:szCs w:val="30"/>
        </w:rPr>
      </w:pPr>
      <w:r>
        <w:rPr>
          <w:rFonts w:hint="eastAsia" w:ascii="仿宋_GB2312" w:eastAsia="仿宋_GB2312" w:cs="黑体"/>
          <w:color w:val="auto"/>
          <w:sz w:val="30"/>
          <w:szCs w:val="30"/>
        </w:rPr>
        <w:t>四、其他收入：指单位取得的除“财政拨款收入”、“事业收入”、“经营收入”等以外的收入。主要是：城乡环境卫生收入、小学教育收入等。</w:t>
      </w:r>
    </w:p>
    <w:p>
      <w:pPr>
        <w:rPr>
          <w:rFonts w:hint="eastAsia" w:ascii="仿宋_GB2312" w:eastAsia="仿宋_GB2312" w:cs="黑体"/>
          <w:color w:val="auto"/>
          <w:sz w:val="30"/>
          <w:szCs w:val="30"/>
        </w:rPr>
      </w:pPr>
      <w:r>
        <w:rPr>
          <w:rFonts w:hint="eastAsia" w:ascii="仿宋_GB2312" w:eastAsia="仿宋_GB2312" w:cs="黑体"/>
          <w:color w:val="auto"/>
          <w:sz w:val="30"/>
          <w:szCs w:val="30"/>
        </w:rPr>
        <w:t>五、年初结转和结余：指以前年度尚未完成、结转到本年按有关规定继续使用的资金。</w:t>
      </w:r>
    </w:p>
    <w:p>
      <w:pPr>
        <w:rPr>
          <w:rFonts w:hint="eastAsia" w:ascii="仿宋_GB2312" w:eastAsia="仿宋_GB2312" w:cs="黑体"/>
          <w:color w:val="auto"/>
          <w:sz w:val="30"/>
          <w:szCs w:val="30"/>
        </w:rPr>
      </w:pPr>
      <w:r>
        <w:rPr>
          <w:rFonts w:hint="eastAsia" w:ascii="仿宋_GB2312" w:eastAsia="仿宋_GB2312" w:cs="黑体"/>
          <w:color w:val="auto"/>
          <w:sz w:val="30"/>
          <w:szCs w:val="30"/>
        </w:rPr>
        <w:t>六、年末结转和结余：指本年度或以前年度预算安排、因客观条件发生变化无法按原计划实施，需延迟到以后年度按有关规定继续使用的资金。</w:t>
      </w:r>
    </w:p>
    <w:p>
      <w:pPr>
        <w:rPr>
          <w:rFonts w:hint="eastAsia" w:ascii="仿宋_GB2312" w:eastAsia="仿宋_GB2312" w:cs="黑体"/>
          <w:color w:val="auto"/>
          <w:sz w:val="30"/>
          <w:szCs w:val="30"/>
        </w:rPr>
      </w:pPr>
      <w:r>
        <w:rPr>
          <w:rFonts w:hint="eastAsia" w:ascii="仿宋_GB2312" w:eastAsia="仿宋_GB2312" w:cs="黑体"/>
          <w:color w:val="auto"/>
          <w:sz w:val="30"/>
          <w:szCs w:val="30"/>
        </w:rPr>
        <w:t>七、基本支出：指单位为保障机构正常运转、完成日常工作任务而发生的各项支出。</w:t>
      </w:r>
    </w:p>
    <w:p>
      <w:pPr>
        <w:rPr>
          <w:rFonts w:hint="eastAsia" w:ascii="仿宋_GB2312" w:eastAsia="仿宋_GB2312" w:cs="黑体"/>
          <w:color w:val="auto"/>
          <w:sz w:val="30"/>
          <w:szCs w:val="30"/>
        </w:rPr>
      </w:pPr>
      <w:r>
        <w:rPr>
          <w:rFonts w:hint="eastAsia" w:ascii="仿宋_GB2312" w:eastAsia="仿宋_GB2312" w:cs="黑体"/>
          <w:color w:val="auto"/>
          <w:sz w:val="30"/>
          <w:szCs w:val="30"/>
        </w:rPr>
        <w:t>八、项目支出：指单位为完成特定的行政工作任务或事业发展目标，在基本支出之外发生的各项支出。</w:t>
      </w:r>
    </w:p>
    <w:p>
      <w:pPr>
        <w:rPr>
          <w:rFonts w:hint="eastAsia" w:ascii="仿宋_GB2312" w:eastAsia="仿宋_GB2312" w:cs="黑体"/>
          <w:color w:val="auto"/>
          <w:sz w:val="30"/>
          <w:szCs w:val="30"/>
        </w:rPr>
      </w:pPr>
      <w:r>
        <w:rPr>
          <w:rFonts w:hint="eastAsia" w:ascii="仿宋_GB2312" w:eastAsia="仿宋_GB2312" w:cs="黑体"/>
          <w:color w:val="auto"/>
          <w:sz w:val="30"/>
          <w:szCs w:val="30"/>
        </w:rPr>
        <w:t>九、经营支出：指事业单位在专业活动及辅助活动之外开展非独立核算经营活动发生的支出。</w:t>
      </w:r>
    </w:p>
    <w:p>
      <w:pPr>
        <w:rPr>
          <w:rFonts w:hint="eastAsia" w:ascii="仿宋_GB2312" w:eastAsia="仿宋_GB2312" w:cs="黑体"/>
          <w:color w:val="auto"/>
          <w:sz w:val="30"/>
          <w:szCs w:val="30"/>
        </w:rPr>
      </w:pPr>
      <w:r>
        <w:rPr>
          <w:rFonts w:hint="eastAsia" w:ascii="仿宋_GB2312" w:eastAsia="仿宋_GB2312" w:cs="黑体"/>
          <w:color w:val="auto"/>
          <w:sz w:val="30"/>
          <w:szCs w:val="30"/>
        </w:rPr>
        <w:t>十、“三公”经费：指单位使用本级财政拨款安排的因公出国（境）费、公务用车购置及运行费和公务接待费。其中</w:t>
      </w:r>
      <w:r>
        <w:rPr>
          <w:rFonts w:ascii="仿宋_GB2312" w:eastAsia="仿宋_GB2312" w:cs="黑体"/>
          <w:color w:val="auto"/>
          <w:sz w:val="30"/>
          <w:szCs w:val="30"/>
        </w:rPr>
        <w:t>:</w:t>
      </w:r>
      <w:r>
        <w:rPr>
          <w:rFonts w:hint="eastAsia" w:ascii="仿宋_GB2312" w:eastAsia="仿宋_GB2312" w:cs="黑体"/>
          <w:color w:val="auto"/>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r>
        <w:rPr>
          <w:rFonts w:hint="eastAsia" w:ascii="仿宋_GB2312" w:eastAsia="仿宋_GB2312" w:cs="黑体"/>
          <w:color w:val="auto"/>
          <w:sz w:val="32"/>
          <w:szCs w:val="30"/>
        </w:rPr>
        <w:t>。</w:t>
      </w:r>
    </w:p>
    <w:p>
      <w:pPr>
        <w:rPr>
          <w:rFonts w:hint="eastAsia" w:ascii="仿宋_GB2312" w:eastAsia="仿宋_GB2312" w:cs="黑体"/>
          <w:color w:val="auto"/>
          <w:sz w:val="30"/>
          <w:szCs w:val="30"/>
        </w:rPr>
      </w:pPr>
      <w:r>
        <w:rPr>
          <w:rFonts w:hint="eastAsia" w:ascii="仿宋_GB2312" w:eastAsia="仿宋_GB2312" w:cs="黑体"/>
          <w:color w:val="auto"/>
          <w:sz w:val="30"/>
          <w:szCs w:val="30"/>
        </w:rPr>
        <w:t>十一、机关运行经费：指行政单位和参照公务员法管理的事业单位使用一般公共预算财政拨款安排的基本支出中的日常公用经费支出。</w:t>
      </w:r>
    </w:p>
    <w:p>
      <w:pPr>
        <w:rPr>
          <w:rFonts w:hint="eastAsia"/>
          <w:color w:val="auto"/>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Microsoft YaHei UI"/>
    <w:panose1 w:val="00000000000000000000"/>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p>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fldChar w:fldCharType="begin"/>
    </w:r>
    <w:r>
      <w:instrText xml:space="preserve"> PAGE   \* MERGEFORMAT </w:instrText>
    </w:r>
    <w:r>
      <w:fldChar w:fldCharType="separate"/>
    </w:r>
    <w:r>
      <w:rPr>
        <w:rFonts w:hint="eastAsia"/>
        <w:lang w:val="zh-CN"/>
      </w:rPr>
      <w:t>34</w:t>
    </w:r>
    <w:r>
      <w:rPr>
        <w:lang w:val="zh-CN"/>
      </w:rPr>
      <w:fldChar w:fldCharType="end"/>
    </w:r>
  </w:p>
  <w:p>
    <w:pPr>
      <w:pStyle w:val="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531AEC"/>
    <w:multiLevelType w:val="multilevel"/>
    <w:tmpl w:val="7D531AE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9ED"/>
    <w:rsid w:val="00001B72"/>
    <w:rsid w:val="00004661"/>
    <w:rsid w:val="00005093"/>
    <w:rsid w:val="00005880"/>
    <w:rsid w:val="00010680"/>
    <w:rsid w:val="00047008"/>
    <w:rsid w:val="00056059"/>
    <w:rsid w:val="0006403E"/>
    <w:rsid w:val="00084DEF"/>
    <w:rsid w:val="000853C7"/>
    <w:rsid w:val="000C1C15"/>
    <w:rsid w:val="000D664F"/>
    <w:rsid w:val="000E2BD0"/>
    <w:rsid w:val="00120589"/>
    <w:rsid w:val="0012403A"/>
    <w:rsid w:val="00132527"/>
    <w:rsid w:val="00150938"/>
    <w:rsid w:val="00151390"/>
    <w:rsid w:val="00161F8E"/>
    <w:rsid w:val="00197320"/>
    <w:rsid w:val="00197EDB"/>
    <w:rsid w:val="001A0161"/>
    <w:rsid w:val="001A36FD"/>
    <w:rsid w:val="001A4319"/>
    <w:rsid w:val="001B0B85"/>
    <w:rsid w:val="001B1E9B"/>
    <w:rsid w:val="001D4B2A"/>
    <w:rsid w:val="001E4DF8"/>
    <w:rsid w:val="00206812"/>
    <w:rsid w:val="00221930"/>
    <w:rsid w:val="00227627"/>
    <w:rsid w:val="002312DF"/>
    <w:rsid w:val="002355F5"/>
    <w:rsid w:val="00236B32"/>
    <w:rsid w:val="00251B02"/>
    <w:rsid w:val="00291A30"/>
    <w:rsid w:val="002A05AB"/>
    <w:rsid w:val="002B144A"/>
    <w:rsid w:val="002C02F8"/>
    <w:rsid w:val="002C2B9C"/>
    <w:rsid w:val="002D4F3E"/>
    <w:rsid w:val="002F47E2"/>
    <w:rsid w:val="00313D9E"/>
    <w:rsid w:val="00317E92"/>
    <w:rsid w:val="00346D89"/>
    <w:rsid w:val="0035579E"/>
    <w:rsid w:val="00377F12"/>
    <w:rsid w:val="0039586A"/>
    <w:rsid w:val="003A0884"/>
    <w:rsid w:val="003A45C1"/>
    <w:rsid w:val="003C403C"/>
    <w:rsid w:val="003D2113"/>
    <w:rsid w:val="003D5468"/>
    <w:rsid w:val="00411855"/>
    <w:rsid w:val="004210E1"/>
    <w:rsid w:val="0042145B"/>
    <w:rsid w:val="00423F8D"/>
    <w:rsid w:val="00462490"/>
    <w:rsid w:val="0047084E"/>
    <w:rsid w:val="0047209A"/>
    <w:rsid w:val="00474EC7"/>
    <w:rsid w:val="004776D2"/>
    <w:rsid w:val="00484B12"/>
    <w:rsid w:val="004877EE"/>
    <w:rsid w:val="00491A50"/>
    <w:rsid w:val="00496AC8"/>
    <w:rsid w:val="004A2EFB"/>
    <w:rsid w:val="004B6747"/>
    <w:rsid w:val="004D3759"/>
    <w:rsid w:val="0052139E"/>
    <w:rsid w:val="00531FBB"/>
    <w:rsid w:val="0053601A"/>
    <w:rsid w:val="00543EE6"/>
    <w:rsid w:val="00550378"/>
    <w:rsid w:val="00590C5B"/>
    <w:rsid w:val="005A29B5"/>
    <w:rsid w:val="005C1AE1"/>
    <w:rsid w:val="005C6983"/>
    <w:rsid w:val="0060165E"/>
    <w:rsid w:val="00604899"/>
    <w:rsid w:val="00606CD5"/>
    <w:rsid w:val="00610111"/>
    <w:rsid w:val="00617C08"/>
    <w:rsid w:val="00617CAD"/>
    <w:rsid w:val="00626260"/>
    <w:rsid w:val="00657916"/>
    <w:rsid w:val="0067205E"/>
    <w:rsid w:val="00680C85"/>
    <w:rsid w:val="006A1977"/>
    <w:rsid w:val="006B04A6"/>
    <w:rsid w:val="006B7EE2"/>
    <w:rsid w:val="006C7697"/>
    <w:rsid w:val="006D0140"/>
    <w:rsid w:val="006D7C87"/>
    <w:rsid w:val="006E4B5E"/>
    <w:rsid w:val="006E5A06"/>
    <w:rsid w:val="006E7537"/>
    <w:rsid w:val="00720D30"/>
    <w:rsid w:val="007258AF"/>
    <w:rsid w:val="00750976"/>
    <w:rsid w:val="007849ED"/>
    <w:rsid w:val="00795870"/>
    <w:rsid w:val="007A1245"/>
    <w:rsid w:val="007C2650"/>
    <w:rsid w:val="007C3120"/>
    <w:rsid w:val="007E56FB"/>
    <w:rsid w:val="008022E5"/>
    <w:rsid w:val="008338E0"/>
    <w:rsid w:val="00837757"/>
    <w:rsid w:val="0084785D"/>
    <w:rsid w:val="00853EE7"/>
    <w:rsid w:val="00864028"/>
    <w:rsid w:val="008D0671"/>
    <w:rsid w:val="008D26E9"/>
    <w:rsid w:val="008E218D"/>
    <w:rsid w:val="00900355"/>
    <w:rsid w:val="009060F7"/>
    <w:rsid w:val="00911F99"/>
    <w:rsid w:val="00914837"/>
    <w:rsid w:val="00931525"/>
    <w:rsid w:val="00945330"/>
    <w:rsid w:val="00976438"/>
    <w:rsid w:val="00994588"/>
    <w:rsid w:val="00997715"/>
    <w:rsid w:val="00A1464C"/>
    <w:rsid w:val="00A31723"/>
    <w:rsid w:val="00A47F16"/>
    <w:rsid w:val="00A63EB3"/>
    <w:rsid w:val="00A72734"/>
    <w:rsid w:val="00A8320C"/>
    <w:rsid w:val="00AA4E4D"/>
    <w:rsid w:val="00AA721B"/>
    <w:rsid w:val="00AC13B8"/>
    <w:rsid w:val="00AC71CC"/>
    <w:rsid w:val="00AD0416"/>
    <w:rsid w:val="00AE2A2C"/>
    <w:rsid w:val="00B01EB3"/>
    <w:rsid w:val="00B233CA"/>
    <w:rsid w:val="00B40B17"/>
    <w:rsid w:val="00B7379C"/>
    <w:rsid w:val="00B817CC"/>
    <w:rsid w:val="00BA03FF"/>
    <w:rsid w:val="00BA71B6"/>
    <w:rsid w:val="00BB3AD1"/>
    <w:rsid w:val="00BB716A"/>
    <w:rsid w:val="00BD51B3"/>
    <w:rsid w:val="00BF1EF0"/>
    <w:rsid w:val="00C0146E"/>
    <w:rsid w:val="00C12543"/>
    <w:rsid w:val="00C220A3"/>
    <w:rsid w:val="00C2518F"/>
    <w:rsid w:val="00C3494C"/>
    <w:rsid w:val="00C63D30"/>
    <w:rsid w:val="00C651BA"/>
    <w:rsid w:val="00C762FE"/>
    <w:rsid w:val="00C76418"/>
    <w:rsid w:val="00C86F9A"/>
    <w:rsid w:val="00CC20B6"/>
    <w:rsid w:val="00CC3891"/>
    <w:rsid w:val="00CC6414"/>
    <w:rsid w:val="00CD069C"/>
    <w:rsid w:val="00CD0850"/>
    <w:rsid w:val="00CF4CD4"/>
    <w:rsid w:val="00D12DF8"/>
    <w:rsid w:val="00D27B4E"/>
    <w:rsid w:val="00D30782"/>
    <w:rsid w:val="00D32CD9"/>
    <w:rsid w:val="00D50AE2"/>
    <w:rsid w:val="00D77D0C"/>
    <w:rsid w:val="00D86EC7"/>
    <w:rsid w:val="00D91B5C"/>
    <w:rsid w:val="00D976AE"/>
    <w:rsid w:val="00DA310D"/>
    <w:rsid w:val="00DD51F8"/>
    <w:rsid w:val="00DD58E6"/>
    <w:rsid w:val="00DE655B"/>
    <w:rsid w:val="00E01781"/>
    <w:rsid w:val="00E22017"/>
    <w:rsid w:val="00E26976"/>
    <w:rsid w:val="00E34540"/>
    <w:rsid w:val="00E414D5"/>
    <w:rsid w:val="00E70309"/>
    <w:rsid w:val="00ED6569"/>
    <w:rsid w:val="00EE59DC"/>
    <w:rsid w:val="00EF0B47"/>
    <w:rsid w:val="00F0071D"/>
    <w:rsid w:val="00F06F85"/>
    <w:rsid w:val="00F22BEF"/>
    <w:rsid w:val="00F34140"/>
    <w:rsid w:val="00F875B9"/>
    <w:rsid w:val="00FA0BCC"/>
    <w:rsid w:val="00FA5279"/>
    <w:rsid w:val="00FE5316"/>
    <w:rsid w:val="00FF4994"/>
    <w:rsid w:val="0141482C"/>
    <w:rsid w:val="04FE43BA"/>
    <w:rsid w:val="0929298D"/>
    <w:rsid w:val="09C17BFB"/>
    <w:rsid w:val="14694AFE"/>
    <w:rsid w:val="17406516"/>
    <w:rsid w:val="1748589E"/>
    <w:rsid w:val="1DF166AB"/>
    <w:rsid w:val="239449DB"/>
    <w:rsid w:val="25653133"/>
    <w:rsid w:val="288C2576"/>
    <w:rsid w:val="28AA05E8"/>
    <w:rsid w:val="2A7F30E4"/>
    <w:rsid w:val="306D2F31"/>
    <w:rsid w:val="31E55AAE"/>
    <w:rsid w:val="337C7104"/>
    <w:rsid w:val="3730712C"/>
    <w:rsid w:val="407A4D26"/>
    <w:rsid w:val="436D5975"/>
    <w:rsid w:val="4A062BE8"/>
    <w:rsid w:val="519148EA"/>
    <w:rsid w:val="53302FA1"/>
    <w:rsid w:val="54211A7C"/>
    <w:rsid w:val="5601285F"/>
    <w:rsid w:val="591326D5"/>
    <w:rsid w:val="59ED54D6"/>
    <w:rsid w:val="5D1960FE"/>
    <w:rsid w:val="5E041EE8"/>
    <w:rsid w:val="5E924D7D"/>
    <w:rsid w:val="5F6C6045"/>
    <w:rsid w:val="5FD5408F"/>
    <w:rsid w:val="606A7EF7"/>
    <w:rsid w:val="615E6582"/>
    <w:rsid w:val="655F5DD1"/>
    <w:rsid w:val="6BAB79C6"/>
    <w:rsid w:val="6CCF3F4C"/>
    <w:rsid w:val="6E4A31B9"/>
    <w:rsid w:val="70B95034"/>
    <w:rsid w:val="716246A0"/>
    <w:rsid w:val="72BC4B86"/>
    <w:rsid w:val="7BDB32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tabs>
        <w:tab w:val="left" w:pos="3199"/>
      </w:tabs>
      <w:spacing w:before="340" w:after="330" w:line="578" w:lineRule="auto"/>
      <w:ind w:left="3199" w:hanging="720"/>
      <w:outlineLvl w:val="0"/>
    </w:pPr>
    <w:rPr>
      <w:rFonts w:ascii="Times New Roman" w:hAnsi="Times New Roman"/>
      <w:b/>
      <w:bCs/>
      <w:kern w:val="44"/>
      <w:sz w:val="44"/>
      <w:szCs w:val="44"/>
    </w:rPr>
  </w:style>
  <w:style w:type="paragraph" w:styleId="3">
    <w:name w:val="heading 2"/>
    <w:basedOn w:val="1"/>
    <w:next w:val="1"/>
    <w:link w:val="14"/>
    <w:qFormat/>
    <w:uiPriority w:val="99"/>
    <w:pPr>
      <w:keepNext/>
      <w:keepLines/>
      <w:tabs>
        <w:tab w:val="left" w:pos="1440"/>
      </w:tabs>
      <w:spacing w:before="260" w:after="260" w:line="416" w:lineRule="auto"/>
      <w:ind w:left="1440" w:hanging="360"/>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qFormat/>
    <w:uiPriority w:val="99"/>
    <w:rPr>
      <w:rFonts w:ascii="宋体" w:cs="黑体"/>
      <w:sz w:val="18"/>
      <w:szCs w:val="18"/>
    </w:rPr>
  </w:style>
  <w:style w:type="paragraph" w:styleId="5">
    <w:name w:val="Balloon Text"/>
    <w:basedOn w:val="1"/>
    <w:link w:val="22"/>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标题 1 Char"/>
    <w:basedOn w:val="11"/>
    <w:link w:val="2"/>
    <w:qFormat/>
    <w:locked/>
    <w:uiPriority w:val="99"/>
    <w:rPr>
      <w:rFonts w:ascii="Times New Roman" w:hAnsi="Times New Roman" w:eastAsia="宋体" w:cs="Times New Roman"/>
      <w:b/>
      <w:bCs/>
      <w:kern w:val="44"/>
      <w:sz w:val="44"/>
      <w:szCs w:val="44"/>
    </w:rPr>
  </w:style>
  <w:style w:type="character" w:customStyle="1" w:styleId="14">
    <w:name w:val="标题 2 Char"/>
    <w:basedOn w:val="11"/>
    <w:link w:val="3"/>
    <w:qFormat/>
    <w:locked/>
    <w:uiPriority w:val="99"/>
    <w:rPr>
      <w:rFonts w:ascii="Arial" w:hAnsi="Arial" w:eastAsia="黑体" w:cs="Times New Roman"/>
      <w:b/>
      <w:bCs/>
      <w:sz w:val="32"/>
      <w:szCs w:val="32"/>
    </w:rPr>
  </w:style>
  <w:style w:type="character" w:customStyle="1" w:styleId="15">
    <w:name w:val="页眉 Char"/>
    <w:basedOn w:val="11"/>
    <w:link w:val="7"/>
    <w:semiHidden/>
    <w:qFormat/>
    <w:locked/>
    <w:uiPriority w:val="99"/>
    <w:rPr>
      <w:rFonts w:cs="Times New Roman"/>
      <w:sz w:val="18"/>
      <w:szCs w:val="18"/>
    </w:rPr>
  </w:style>
  <w:style w:type="character" w:customStyle="1" w:styleId="16">
    <w:name w:val="页脚 Char"/>
    <w:basedOn w:val="11"/>
    <w:link w:val="6"/>
    <w:qFormat/>
    <w:locked/>
    <w:uiPriority w:val="99"/>
    <w:rPr>
      <w:rFonts w:cs="Times New Roman"/>
      <w:sz w:val="18"/>
      <w:szCs w:val="18"/>
    </w:rPr>
  </w:style>
  <w:style w:type="character" w:customStyle="1" w:styleId="17">
    <w:name w:val="jq4图片注释 Char"/>
    <w:link w:val="18"/>
    <w:qFormat/>
    <w:locked/>
    <w:uiPriority w:val="99"/>
    <w:rPr>
      <w:rFonts w:ascii="Calibri" w:hAnsi="Calibri"/>
      <w:kern w:val="2"/>
      <w:sz w:val="18"/>
      <w:szCs w:val="24"/>
      <w:lang w:val="en-US" w:eastAsia="zh-CN" w:bidi="ar-SA"/>
    </w:rPr>
  </w:style>
  <w:style w:type="paragraph" w:customStyle="1" w:styleId="18">
    <w:name w:val="jq4图片注释"/>
    <w:next w:val="1"/>
    <w:link w:val="17"/>
    <w:qFormat/>
    <w:uiPriority w:val="99"/>
    <w:pPr>
      <w:spacing w:before="20" w:after="50" w:line="300" w:lineRule="auto"/>
      <w:ind w:firstLine="200"/>
      <w:jc w:val="center"/>
    </w:pPr>
    <w:rPr>
      <w:rFonts w:ascii="Calibri" w:hAnsi="Calibri" w:eastAsia="宋体" w:cs="Times New Roman"/>
      <w:kern w:val="2"/>
      <w:sz w:val="18"/>
      <w:szCs w:val="24"/>
      <w:lang w:val="en-US" w:eastAsia="zh-CN" w:bidi="ar-SA"/>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文档结构图 Char"/>
    <w:basedOn w:val="11"/>
    <w:link w:val="4"/>
    <w:qFormat/>
    <w:locked/>
    <w:uiPriority w:val="99"/>
    <w:rPr>
      <w:rFonts w:ascii="宋体" w:hAnsi="Calibri" w:eastAsia="宋体" w:cs="黑体"/>
      <w:sz w:val="18"/>
      <w:szCs w:val="18"/>
    </w:rPr>
  </w:style>
  <w:style w:type="paragraph" w:styleId="21">
    <w:name w:val="List Paragraph"/>
    <w:basedOn w:val="1"/>
    <w:qFormat/>
    <w:uiPriority w:val="99"/>
    <w:pPr>
      <w:ind w:firstLine="420" w:firstLineChars="200"/>
    </w:pPr>
  </w:style>
  <w:style w:type="character" w:customStyle="1" w:styleId="22">
    <w:name w:val="批注框文本 Char"/>
    <w:basedOn w:val="11"/>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3B819-7734-4782-9276-C303172A8D8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3662</Words>
  <Characters>20878</Characters>
  <Lines>173</Lines>
  <Paragraphs>48</Paragraphs>
  <TotalTime>15</TotalTime>
  <ScaleCrop>false</ScaleCrop>
  <LinksUpToDate>false</LinksUpToDate>
  <CharactersWithSpaces>24492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2019-09-25T02:03:00Z</dcterms:created>
  <dc:creator>Administrator</dc:creator>
  <cp:lastModifiedBy>那个小谁</cp:lastModifiedBy>
  <cp:lastPrinted>2021-07-28T06:15:00Z</cp:lastPrinted>
  <dcterms:modified xsi:type="dcterms:W3CDTF">2021-08-17T01:50:04Z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448C0887EFA94D00B126907C447F30C8</vt:lpwstr>
  </property>
</Properties>
</file>