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1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1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70,857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66.8</w:t>
      </w:r>
      <w:r>
        <w:rPr>
          <w:rFonts w:hint="eastAsia" w:ascii="仿宋_GB2312" w:eastAsia="仿宋_GB2312"/>
          <w:b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47,411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29.6</w:t>
      </w:r>
      <w:r>
        <w:rPr>
          <w:rFonts w:hint="eastAsia" w:ascii="仿宋_GB2312" w:eastAsia="仿宋_GB2312"/>
          <w:b/>
          <w:sz w:val="36"/>
          <w:szCs w:val="36"/>
        </w:rPr>
        <w:t>%，非税收入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23,446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298.1</w:t>
      </w:r>
      <w:r>
        <w:rPr>
          <w:rFonts w:hint="eastAsia" w:ascii="仿宋_GB2312" w:eastAsia="仿宋_GB2312"/>
          <w:b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66.9</w:t>
      </w:r>
      <w:r>
        <w:rPr>
          <w:rFonts w:hint="eastAsia" w:ascii="仿宋_GB2312" w:eastAsia="仿宋_GB2312"/>
          <w:b/>
          <w:sz w:val="36"/>
          <w:szCs w:val="36"/>
        </w:rPr>
        <w:t>%和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33.1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32,873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89.5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37,985</w:t>
      </w:r>
      <w:bookmarkStart w:id="0" w:name="_GoBack"/>
      <w:bookmarkEnd w:id="0"/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51.2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分征收部门看，税务部门组织的收入为49,894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29.9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%；财政部门等组织的收入为20,963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416.2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59,846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5.9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43,999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7.7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15,847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0.2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7,112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31.3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15,086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43.6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6,504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103.4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2,205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44.3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3,489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63.6</w:t>
      </w:r>
      <w:r>
        <w:rPr>
          <w:rFonts w:hint="eastAsia" w:ascii="仿宋_GB2312" w:eastAsia="仿宋_GB2312"/>
          <w:b/>
          <w:sz w:val="36"/>
          <w:szCs w:val="36"/>
        </w:rPr>
        <w:t>%；；住房保障支出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6,810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20.3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1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131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75.1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350%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1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3,899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108.2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0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91.32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8.8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7.7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1.92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亿元，比我市少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5.17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93.6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4.73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2.36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31.3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的基础上，1</w:t>
      </w:r>
      <w:r>
        <w:rPr>
          <w:rFonts w:hint="eastAsia" w:ascii="仿宋_GB2312" w:eastAsia="仿宋_GB2312"/>
          <w:b/>
          <w:sz w:val="36"/>
          <w:szCs w:val="36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7.09</w:t>
      </w:r>
      <w:r>
        <w:rPr>
          <w:rFonts w:hint="eastAsia" w:ascii="仿宋_GB2312" w:eastAsia="仿宋_GB2312"/>
          <w:b/>
          <w:sz w:val="36"/>
          <w:szCs w:val="36"/>
        </w:rPr>
        <w:t>亿元，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66.8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89.5</w:t>
      </w:r>
      <w:r>
        <w:rPr>
          <w:rFonts w:hint="eastAsia" w:ascii="仿宋_GB2312" w:eastAsia="仿宋_GB2312"/>
          <w:b/>
          <w:sz w:val="36"/>
          <w:szCs w:val="36"/>
        </w:rPr>
        <w:t>%,乡镇级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51.2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</w:t>
      </w:r>
      <w:r>
        <w:rPr>
          <w:rFonts w:hint="eastAsia" w:ascii="仿宋_GB2312" w:eastAsia="仿宋_GB2312"/>
          <w:b/>
          <w:sz w:val="36"/>
          <w:szCs w:val="36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</w:t>
      </w:r>
      <w:r>
        <w:rPr>
          <w:rFonts w:hint="eastAsia" w:ascii="仿宋_GB2312" w:eastAsia="仿宋_GB2312"/>
          <w:b/>
          <w:sz w:val="36"/>
          <w:szCs w:val="36"/>
        </w:rPr>
        <w:t>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1303.2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1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2251197"/>
    <w:rsid w:val="03006084"/>
    <w:rsid w:val="03142A7D"/>
    <w:rsid w:val="03625AA7"/>
    <w:rsid w:val="04925B2B"/>
    <w:rsid w:val="05691DB1"/>
    <w:rsid w:val="056B7BEF"/>
    <w:rsid w:val="068B6519"/>
    <w:rsid w:val="07140051"/>
    <w:rsid w:val="07734EEF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CF4201F"/>
    <w:rsid w:val="0D2B519E"/>
    <w:rsid w:val="0D7F153B"/>
    <w:rsid w:val="0EDE0FCB"/>
    <w:rsid w:val="0F261593"/>
    <w:rsid w:val="0FA676BA"/>
    <w:rsid w:val="0FF77241"/>
    <w:rsid w:val="10FA5C0A"/>
    <w:rsid w:val="128D48F6"/>
    <w:rsid w:val="13C150EA"/>
    <w:rsid w:val="13EB4111"/>
    <w:rsid w:val="142077BD"/>
    <w:rsid w:val="148B7866"/>
    <w:rsid w:val="14FE7041"/>
    <w:rsid w:val="158259F9"/>
    <w:rsid w:val="16C11BD0"/>
    <w:rsid w:val="17A823C2"/>
    <w:rsid w:val="17EE5F0E"/>
    <w:rsid w:val="180A4550"/>
    <w:rsid w:val="181307EA"/>
    <w:rsid w:val="18C02A9A"/>
    <w:rsid w:val="18E13C50"/>
    <w:rsid w:val="1BE75C63"/>
    <w:rsid w:val="1DCD6F39"/>
    <w:rsid w:val="1E5C31A8"/>
    <w:rsid w:val="1EF27C9E"/>
    <w:rsid w:val="1F247902"/>
    <w:rsid w:val="1F2B5073"/>
    <w:rsid w:val="1F2C5901"/>
    <w:rsid w:val="1F6F318D"/>
    <w:rsid w:val="20B90BC0"/>
    <w:rsid w:val="20F102B1"/>
    <w:rsid w:val="22395DB9"/>
    <w:rsid w:val="239B10E8"/>
    <w:rsid w:val="24C11AF9"/>
    <w:rsid w:val="2533231F"/>
    <w:rsid w:val="26233BF3"/>
    <w:rsid w:val="26422E9B"/>
    <w:rsid w:val="275A586B"/>
    <w:rsid w:val="27DE47DC"/>
    <w:rsid w:val="27E30511"/>
    <w:rsid w:val="27EC49F4"/>
    <w:rsid w:val="27EC5690"/>
    <w:rsid w:val="27F0028F"/>
    <w:rsid w:val="28A175B5"/>
    <w:rsid w:val="28D14B7F"/>
    <w:rsid w:val="2AC31721"/>
    <w:rsid w:val="2B1D4753"/>
    <w:rsid w:val="2BA94C06"/>
    <w:rsid w:val="2BC47E1F"/>
    <w:rsid w:val="2C510EEF"/>
    <w:rsid w:val="2F402462"/>
    <w:rsid w:val="300C4317"/>
    <w:rsid w:val="305A5667"/>
    <w:rsid w:val="30B22A90"/>
    <w:rsid w:val="31633BE2"/>
    <w:rsid w:val="32B04FBB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CC065F2"/>
    <w:rsid w:val="3D3A69A7"/>
    <w:rsid w:val="3DC879E7"/>
    <w:rsid w:val="3DD5290A"/>
    <w:rsid w:val="3DDE04D0"/>
    <w:rsid w:val="3DE00213"/>
    <w:rsid w:val="41D45D95"/>
    <w:rsid w:val="41ED1706"/>
    <w:rsid w:val="42024426"/>
    <w:rsid w:val="431B2D11"/>
    <w:rsid w:val="435D5D0C"/>
    <w:rsid w:val="44EA6347"/>
    <w:rsid w:val="45682669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3079A"/>
    <w:rsid w:val="4C330453"/>
    <w:rsid w:val="4C775C27"/>
    <w:rsid w:val="4C9B72C7"/>
    <w:rsid w:val="4D1B5328"/>
    <w:rsid w:val="4DB25073"/>
    <w:rsid w:val="4E7E0A8C"/>
    <w:rsid w:val="516D07BC"/>
    <w:rsid w:val="517F4BCA"/>
    <w:rsid w:val="520012D6"/>
    <w:rsid w:val="52C465E8"/>
    <w:rsid w:val="53475A87"/>
    <w:rsid w:val="55027028"/>
    <w:rsid w:val="56804FE2"/>
    <w:rsid w:val="575816E6"/>
    <w:rsid w:val="575D55AA"/>
    <w:rsid w:val="58457336"/>
    <w:rsid w:val="58566293"/>
    <w:rsid w:val="58B07E3E"/>
    <w:rsid w:val="59DA18DB"/>
    <w:rsid w:val="59FC097F"/>
    <w:rsid w:val="5A3439AD"/>
    <w:rsid w:val="5A9426DE"/>
    <w:rsid w:val="5B0B5F27"/>
    <w:rsid w:val="5B912F46"/>
    <w:rsid w:val="5BA56848"/>
    <w:rsid w:val="5D551B1E"/>
    <w:rsid w:val="5D92152A"/>
    <w:rsid w:val="5FAA59A2"/>
    <w:rsid w:val="60324209"/>
    <w:rsid w:val="61305999"/>
    <w:rsid w:val="6143657E"/>
    <w:rsid w:val="645C48F9"/>
    <w:rsid w:val="64E75209"/>
    <w:rsid w:val="64F6429C"/>
    <w:rsid w:val="652A79EC"/>
    <w:rsid w:val="657330D6"/>
    <w:rsid w:val="66BC51D2"/>
    <w:rsid w:val="675424F9"/>
    <w:rsid w:val="675D15BF"/>
    <w:rsid w:val="6844046F"/>
    <w:rsid w:val="68474D45"/>
    <w:rsid w:val="693C37D7"/>
    <w:rsid w:val="6A0652FF"/>
    <w:rsid w:val="6A5A7E94"/>
    <w:rsid w:val="6A612016"/>
    <w:rsid w:val="6C94617F"/>
    <w:rsid w:val="6D063121"/>
    <w:rsid w:val="6D286B9E"/>
    <w:rsid w:val="6D582BBD"/>
    <w:rsid w:val="6D7153E0"/>
    <w:rsid w:val="6E2139D0"/>
    <w:rsid w:val="6FE01945"/>
    <w:rsid w:val="70011284"/>
    <w:rsid w:val="702A361F"/>
    <w:rsid w:val="70374270"/>
    <w:rsid w:val="70B42FE7"/>
    <w:rsid w:val="711B18DD"/>
    <w:rsid w:val="71847710"/>
    <w:rsid w:val="71D66517"/>
    <w:rsid w:val="720A4A9E"/>
    <w:rsid w:val="73A11126"/>
    <w:rsid w:val="74BB6074"/>
    <w:rsid w:val="754B52BF"/>
    <w:rsid w:val="75A06258"/>
    <w:rsid w:val="75E91FAE"/>
    <w:rsid w:val="75F43985"/>
    <w:rsid w:val="764C0782"/>
    <w:rsid w:val="77635DF3"/>
    <w:rsid w:val="779C20A3"/>
    <w:rsid w:val="77E94D39"/>
    <w:rsid w:val="78D2588D"/>
    <w:rsid w:val="792954A9"/>
    <w:rsid w:val="79441A9F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1431</Characters>
  <Lines>11</Lines>
  <Paragraphs>3</Paragraphs>
  <TotalTime>28</TotalTime>
  <ScaleCrop>false</ScaleCrop>
  <LinksUpToDate>false</LinksUpToDate>
  <CharactersWithSpaces>1678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2023-02-03T06:37:19Z</cp:lastPrinted>
  <dcterms:modified xsi:type="dcterms:W3CDTF">2023-02-03T07:04:49Z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