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  <w:lang w:eastAsia="zh-CN"/>
        </w:rPr>
      </w:pPr>
    </w:p>
    <w:p>
      <w:pPr>
        <w:shd w:val="clear"/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  <w:lang w:eastAsia="zh-CN"/>
        </w:rPr>
        <w:t>光明山镇202</w:t>
      </w:r>
      <w:r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  <w:lang w:eastAsia="zh-CN"/>
        </w:rPr>
        <w:t>年预算草案报告（书面）</w:t>
      </w:r>
    </w:p>
    <w:p>
      <w:pPr>
        <w:shd w:val="clear" w:color="auto" w:fill="auto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年</w:t>
      </w:r>
      <w:r>
        <w:rPr>
          <w:rFonts w:hint="default" w:ascii="Times New Roman" w:hAnsi="Times New Roman" w:eastAsia="楷体_GB2312" w:cs="Times New Roman"/>
          <w:sz w:val="28"/>
          <w:szCs w:val="28"/>
          <w:shd w:val="clear" w:color="auto" w:fill="auto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28"/>
          <w:szCs w:val="28"/>
          <w:shd w:val="clear" w:color="auto" w:fill="auto"/>
        </w:rPr>
        <w:t>月</w:t>
      </w:r>
      <w:r>
        <w:rPr>
          <w:rFonts w:hint="default" w:ascii="Times New Roman" w:hAnsi="Times New Roman" w:eastAsia="楷体_GB2312" w:cs="Times New Roman"/>
          <w:sz w:val="28"/>
          <w:szCs w:val="28"/>
          <w:shd w:val="clear" w:color="auto" w:fill="auto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</w:rPr>
        <w:t>日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  <w:lang w:eastAsia="zh-CN"/>
        </w:rPr>
        <w:t>光明山镇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</w:rPr>
        <w:t>第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  <w:lang w:val="en-US" w:eastAsia="zh-CN"/>
        </w:rPr>
        <w:t>二十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</w:rPr>
        <w:t>届人民代表大会第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auto"/>
        </w:rPr>
        <w:t>次</w:t>
      </w:r>
      <w:r>
        <w:rPr>
          <w:rFonts w:hint="eastAsia" w:ascii="楷体_GB2312" w:hAnsi="楷体_GB2312" w:eastAsia="楷体_GB2312" w:cs="楷体_GB2312"/>
          <w:sz w:val="28"/>
          <w:szCs w:val="28"/>
        </w:rPr>
        <w:t>会议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上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</w:p>
    <w:p>
      <w:pPr>
        <w:shd w:val="clear" w:color="auto" w:fill="auto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镇财政所长  娄  云</w:t>
      </w:r>
    </w:p>
    <w:p>
      <w:pPr>
        <w:shd w:val="clear"/>
        <w:spacing w:line="600" w:lineRule="exac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各位代表：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受镇政府委托，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现向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光明山镇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届人民代表大会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次会议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作光明山镇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年财政预算草案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报告，请予审议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（一）一般公共预算安排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年一般公共预算，在收入上，充分考虑增收及经济下行因素，按实安排；在支出上，突出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保刚性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，对人员经费和社会保障支出均作了足额安排；对部分运转性质的项目支出作了压缩。</w:t>
      </w:r>
    </w:p>
    <w:p>
      <w:pPr>
        <w:shd w:val="clear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全镇一般公共预算收入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安排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7240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其中：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税收收入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7200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非税收入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加上转移性收入749万元后的收入总量为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7989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本级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一般公共预算支出安排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7582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加上转移性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407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万元，支出总额为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7989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万元，收支平衡。</w:t>
      </w:r>
    </w:p>
    <w:p>
      <w:pPr>
        <w:shd w:val="clear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全镇一般公共预算支出安排的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7582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万元，按功能分，具体安排为：（1）一般公共服务支出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1939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万元；（2）教育支出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万元；（3）社会保障和就业支出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718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）卫生健康支出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）城乡社区支出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）农林水支出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911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交通运输支出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万元；（9）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资源勘探信息等支出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3260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万元；（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）住房保障支出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143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）预备费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万元。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（二）政府性基金预算安排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政府性基金收入为市级收入，我镇没有该项收入，因而不具备编此预算条件，但为使预算完整，也将政府性基金预算加以提出，并将收支安排为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（三）社会保险基金预算安排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按照统筹级次，基本养老保险、“新农合”由市级统筹，所以未安排社会保险基金预算，但为使预算完整，也将社会保险基金预算加以提出，并将收支安排为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“0”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楷体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lang w:eastAsia="zh-CN"/>
        </w:rPr>
        <w:t>国有资本经营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预算安排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我镇无国有企业，因而不具备编此预算条件，所以未安排国有资本基金预算，但为使预算完整，也将国有资本预算加以提出，并将收支安排为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“0”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shd w:val="clear"/>
        <w:spacing w:line="600" w:lineRule="exact"/>
        <w:ind w:firstLine="630" w:firstLineChars="197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为确保圆满完成202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年的预算任务，我们将强化统筹、聚集重点、厉行节约、优化结构，切实提高财政资金使用效率，精细化管理水平，防范和化解金融风险，为推动我镇高质量发展提供坚实保障。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收入求增长。按照做实收入要求，培育和寻求新的财源增长点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看住存量，狠抓增量，统筹整合财力资源，增加政府可用财力。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支出求保障。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坚持党政机关过紧日子，建设节约型机关、节约型社会；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动态调整和优化支出结构，把有限的资金用在刀刃上；依法强化预算约束力，不断完善和强化建设投资等项目审核管理，大力控制和压缩非生产性开支，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严格控制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三公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经费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支出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；想方设法兜牢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三保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底线，确保基本民生、工资和机构运转支出预算足额安排、不留硬缺口。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管理求提升。深化预算管理改革，切实完善基本支出预算定额体系，提高预算完整性，逐步细化预算公开内容，自觉接受社会监督；不断创新财政各项支出管理制度，强化财政监督职能，扎实、扎密、扎严财政制度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笼子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严格执行财务标准和审批制度，切实提升财政财务管理效能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完善强农惠民管理，优化财政综合服务保障。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各位代表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新的一年财政工作面临的压力挑战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依旧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艰巨，责任更加重大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我们将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全面贯彻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党的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大精神，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听从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镇党委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的正确领导，自觉接受人大的监督，虚心听取意见建议，攻坚克难，砥砺奋进，加大招商引资力度，扩大税源，增加财政收入，弥补支出逆差不足，扎实做好财政各项工作，确保实现全年预算目标，为我镇经济增长做出应有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GZkOTZhMDNmZDc2YjU4MTdlYTJmNjhjODFmYTcifQ=="/>
  </w:docVars>
  <w:rsids>
    <w:rsidRoot w:val="00000000"/>
    <w:rsid w:val="03B538CA"/>
    <w:rsid w:val="0858732C"/>
    <w:rsid w:val="0EAD21BC"/>
    <w:rsid w:val="1A2C4FA8"/>
    <w:rsid w:val="22655D22"/>
    <w:rsid w:val="27F71B83"/>
    <w:rsid w:val="2E375A5B"/>
    <w:rsid w:val="46F1550E"/>
    <w:rsid w:val="4F080F39"/>
    <w:rsid w:val="6491393B"/>
    <w:rsid w:val="69564B94"/>
    <w:rsid w:val="7570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2023-12-05T05:47:00Z</dcterms:created>
  <dc:creator>18304</dc:creator>
  <cp:lastModifiedBy>不二</cp:lastModifiedBy>
  <cp:lastPrinted>2023-12-18T06:00:00Z</cp:lastPrinted>
  <dcterms:modified xsi:type="dcterms:W3CDTF">2024-04-18T06:34:06Z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F5ABEEBF1164415DB0C5A91A2209687C_13</vt:lpwstr>
  </property>
</Properties>
</file>