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left"/>
        <w:rPr>
          <w:rFonts w:ascii="仿宋_GB2312" w:hAnsi="楷体" w:cs="楷体"/>
          <w:b/>
          <w:bCs/>
          <w:color w:val="000000" w:themeColor="text1"/>
        </w:rPr>
      </w:pPr>
    </w:p>
    <w:p>
      <w:pPr>
        <w:spacing w:beforeLines="50" w:line="640" w:lineRule="exact"/>
        <w:jc w:val="center"/>
        <w:rPr>
          <w:rFonts w:ascii="方正小标宋简体" w:hAnsi="宋体" w:eastAsia="方正小标宋简体"/>
          <w:bCs/>
          <w:color w:val="000000" w:themeColor="text1"/>
          <w:kern w:val="0"/>
          <w:sz w:val="44"/>
          <w:szCs w:val="44"/>
        </w:rPr>
      </w:pPr>
      <w:r>
        <w:rPr>
          <w:rFonts w:hint="eastAsia" w:ascii="方正小标宋简体" w:hAnsi="宋体" w:eastAsia="方正小标宋简体"/>
          <w:bCs/>
          <w:color w:val="000000" w:themeColor="text1"/>
          <w:kern w:val="0"/>
          <w:sz w:val="44"/>
          <w:szCs w:val="44"/>
        </w:rPr>
        <w:t>庄河市2020年预算执行情况</w:t>
      </w:r>
    </w:p>
    <w:p>
      <w:pPr>
        <w:spacing w:line="640" w:lineRule="exact"/>
        <w:jc w:val="center"/>
        <w:rPr>
          <w:rFonts w:ascii="方正小标宋简体" w:hAnsi="宋体" w:eastAsia="方正小标宋简体"/>
          <w:bCs/>
          <w:color w:val="000000" w:themeColor="text1"/>
          <w:kern w:val="0"/>
          <w:sz w:val="44"/>
          <w:szCs w:val="44"/>
        </w:rPr>
      </w:pPr>
      <w:r>
        <w:rPr>
          <w:rFonts w:hint="eastAsia" w:ascii="方正小标宋简体" w:hAnsi="宋体" w:eastAsia="方正小标宋简体"/>
          <w:bCs/>
          <w:color w:val="000000" w:themeColor="text1"/>
          <w:kern w:val="0"/>
          <w:sz w:val="44"/>
          <w:szCs w:val="44"/>
        </w:rPr>
        <w:t>和2021年预算草案书面报告</w:t>
      </w:r>
    </w:p>
    <w:p>
      <w:pPr>
        <w:spacing w:line="320" w:lineRule="exact"/>
        <w:jc w:val="center"/>
        <w:rPr>
          <w:rFonts w:ascii="仿宋_GB2312" w:hAnsi="宋体"/>
          <w:b/>
          <w:bCs/>
          <w:color w:val="000000" w:themeColor="text1"/>
          <w:kern w:val="0"/>
        </w:rPr>
      </w:pPr>
    </w:p>
    <w:p>
      <w:pPr>
        <w:spacing w:line="640" w:lineRule="exact"/>
        <w:jc w:val="center"/>
        <w:rPr>
          <w:rFonts w:ascii="仿宋_GB2312" w:hAnsi="宋体"/>
          <w:b/>
          <w:bCs/>
          <w:color w:val="000000" w:themeColor="text1"/>
          <w:kern w:val="0"/>
        </w:rPr>
      </w:pPr>
      <w:r>
        <w:rPr>
          <w:rFonts w:hint="eastAsia" w:ascii="仿宋_GB2312" w:hAnsi="Times New Roman" w:cs="Times New Roman"/>
          <w:b/>
          <w:bCs/>
          <w:color w:val="000000" w:themeColor="text1"/>
          <w:spacing w:val="-6"/>
        </w:rPr>
        <w:t>——</w:t>
      </w:r>
      <w:r>
        <w:rPr>
          <w:rFonts w:hint="eastAsia" w:ascii="仿宋_GB2312" w:hAnsi="宋体" w:cs="宋体"/>
          <w:b/>
          <w:bCs/>
          <w:color w:val="000000" w:themeColor="text1"/>
          <w:spacing w:val="6"/>
        </w:rPr>
        <w:t xml:space="preserve"> 2021年1月</w:t>
      </w:r>
      <w:r>
        <w:rPr>
          <w:rFonts w:hint="eastAsia" w:ascii="仿宋_GB2312" w:hAnsi="宋体" w:cs="宋体"/>
          <w:b/>
          <w:bCs/>
          <w:color w:val="000000" w:themeColor="text1"/>
          <w:spacing w:val="6"/>
          <w:lang w:val="en-US" w:eastAsia="zh-CN"/>
        </w:rPr>
        <w:t>23</w:t>
      </w:r>
      <w:r>
        <w:rPr>
          <w:rFonts w:hint="eastAsia" w:ascii="仿宋_GB2312" w:hAnsi="宋体" w:cs="宋体"/>
          <w:b/>
          <w:bCs/>
          <w:color w:val="000000" w:themeColor="text1"/>
          <w:spacing w:val="6"/>
        </w:rPr>
        <w:t>日在庄河市</w:t>
      </w:r>
    </w:p>
    <w:p>
      <w:pPr>
        <w:spacing w:line="600" w:lineRule="exact"/>
        <w:jc w:val="center"/>
        <w:rPr>
          <w:rFonts w:ascii="仿宋_GB2312" w:hAnsi="宋体" w:cs="宋体"/>
          <w:b/>
          <w:bCs/>
          <w:color w:val="000000" w:themeColor="text1"/>
        </w:rPr>
      </w:pPr>
      <w:r>
        <w:rPr>
          <w:rFonts w:hint="eastAsia" w:ascii="仿宋_GB2312" w:hAnsi="宋体" w:cs="宋体"/>
          <w:b/>
          <w:bCs/>
          <w:color w:val="000000" w:themeColor="text1"/>
        </w:rPr>
        <w:t>第七届人民代表大会第五次会议上</w:t>
      </w:r>
    </w:p>
    <w:p>
      <w:pPr>
        <w:spacing w:line="320" w:lineRule="exact"/>
        <w:jc w:val="center"/>
        <w:rPr>
          <w:rFonts w:ascii="仿宋_GB2312" w:hAnsi="宋体" w:cs="宋体"/>
          <w:b/>
          <w:bCs/>
          <w:color w:val="000000" w:themeColor="text1"/>
        </w:rPr>
      </w:pPr>
    </w:p>
    <w:p>
      <w:pPr>
        <w:spacing w:line="600" w:lineRule="exact"/>
        <w:jc w:val="center"/>
        <w:rPr>
          <w:rFonts w:ascii="仿宋_GB2312" w:hAnsi="宋体" w:cs="宋体"/>
          <w:b/>
          <w:bCs/>
          <w:color w:val="000000" w:themeColor="text1"/>
        </w:rPr>
      </w:pPr>
      <w:r>
        <w:rPr>
          <w:rFonts w:hint="eastAsia" w:ascii="仿宋_GB2312" w:hAnsi="宋体"/>
          <w:b/>
          <w:bCs/>
          <w:color w:val="000000" w:themeColor="text1"/>
        </w:rPr>
        <w:t>庄河市财政局</w:t>
      </w:r>
    </w:p>
    <w:p>
      <w:pPr>
        <w:spacing w:line="640" w:lineRule="exact"/>
        <w:jc w:val="center"/>
        <w:rPr>
          <w:rFonts w:ascii="仿宋_GB2312"/>
          <w:b/>
          <w:bCs/>
          <w:color w:val="000000" w:themeColor="text1"/>
        </w:rPr>
      </w:pPr>
      <w:bookmarkStart w:id="0" w:name="_GoBack"/>
      <w:bookmarkEnd w:id="0"/>
    </w:p>
    <w:p>
      <w:pPr>
        <w:spacing w:line="620" w:lineRule="exact"/>
        <w:rPr>
          <w:rFonts w:ascii="仿宋_GB2312"/>
          <w:b/>
          <w:bCs/>
          <w:color w:val="000000" w:themeColor="text1"/>
        </w:rPr>
      </w:pPr>
      <w:r>
        <w:rPr>
          <w:rFonts w:hint="eastAsia" w:ascii="仿宋_GB2312"/>
          <w:b/>
          <w:bCs/>
          <w:color w:val="000000" w:themeColor="text1"/>
        </w:rPr>
        <w:t>各位代表：</w:t>
      </w:r>
    </w:p>
    <w:p>
      <w:pPr>
        <w:spacing w:line="620" w:lineRule="exact"/>
        <w:ind w:firstLine="623" w:firstLineChars="197"/>
        <w:rPr>
          <w:rFonts w:ascii="仿宋_GB2312"/>
          <w:b/>
          <w:bCs/>
          <w:color w:val="000000" w:themeColor="text1"/>
        </w:rPr>
      </w:pPr>
      <w:r>
        <w:rPr>
          <w:rFonts w:hint="eastAsia" w:ascii="仿宋_GB2312"/>
          <w:b/>
          <w:bCs/>
          <w:color w:val="000000" w:themeColor="text1"/>
        </w:rPr>
        <w:t>受市政府委托，现将我</w:t>
      </w:r>
      <w:r>
        <w:rPr>
          <w:rFonts w:hint="eastAsia" w:ascii="仿宋_GB2312"/>
          <w:b/>
          <w:bCs/>
          <w:color w:val="000000" w:themeColor="text1"/>
          <w:spacing w:val="-20"/>
        </w:rPr>
        <w:t>市</w:t>
      </w:r>
      <w:r>
        <w:rPr>
          <w:rFonts w:hint="eastAsia" w:ascii="仿宋_GB2312"/>
          <w:b/>
          <w:bCs/>
          <w:color w:val="000000" w:themeColor="text1"/>
        </w:rPr>
        <w:t>2020年预算执行情况和2021年预算草案提请本次会议审议，并请市政协委员提出意见。</w:t>
      </w:r>
    </w:p>
    <w:p>
      <w:pPr>
        <w:spacing w:line="620" w:lineRule="exact"/>
        <w:ind w:firstLine="623" w:firstLineChars="197"/>
        <w:rPr>
          <w:rFonts w:ascii="仿宋_GB2312" w:hAnsi="黑体"/>
          <w:b/>
          <w:bCs/>
          <w:color w:val="000000" w:themeColor="text1"/>
        </w:rPr>
      </w:pPr>
      <w:r>
        <w:rPr>
          <w:rFonts w:hint="eastAsia" w:ascii="仿宋_GB2312" w:hAnsi="黑体"/>
          <w:b/>
          <w:bCs/>
          <w:color w:val="000000" w:themeColor="text1"/>
        </w:rPr>
        <w:t>一、2020年预算执行情况</w:t>
      </w:r>
    </w:p>
    <w:p>
      <w:pPr>
        <w:spacing w:line="620" w:lineRule="exact"/>
        <w:ind w:firstLine="623" w:firstLineChars="197"/>
        <w:rPr>
          <w:rFonts w:ascii="仿宋_GB2312"/>
          <w:b/>
          <w:bCs/>
          <w:color w:val="000000" w:themeColor="text1"/>
        </w:rPr>
      </w:pPr>
      <w:r>
        <w:rPr>
          <w:rFonts w:hint="eastAsia" w:ascii="仿宋_GB2312"/>
          <w:b/>
          <w:bCs/>
          <w:color w:val="000000" w:themeColor="text1"/>
        </w:rPr>
        <w:t>2020年,我市财政预算执行情况如下</w:t>
      </w:r>
      <w:r>
        <w:rPr>
          <w:rFonts w:hint="eastAsia" w:ascii="仿宋_GB2312"/>
          <w:b/>
          <w:bCs/>
          <w:color w:val="000000" w:themeColor="text1"/>
          <w:sz w:val="30"/>
          <w:szCs w:val="30"/>
        </w:rPr>
        <w:t>（详见附表）</w:t>
      </w:r>
      <w:r>
        <w:rPr>
          <w:rFonts w:hint="eastAsia" w:ascii="仿宋_GB2312"/>
          <w:b/>
          <w:bCs/>
          <w:color w:val="000000" w:themeColor="text1"/>
        </w:rPr>
        <w:t>：</w:t>
      </w:r>
    </w:p>
    <w:p>
      <w:pPr>
        <w:spacing w:line="620" w:lineRule="exact"/>
        <w:ind w:firstLine="465" w:firstLineChars="147"/>
        <w:rPr>
          <w:rFonts w:ascii="仿宋_GB2312" w:cs="楷体" w:hAnsiTheme="majorEastAsia"/>
          <w:b/>
          <w:bCs/>
          <w:color w:val="000000" w:themeColor="text1"/>
        </w:rPr>
      </w:pPr>
      <w:r>
        <w:rPr>
          <w:rFonts w:hint="eastAsia" w:ascii="仿宋_GB2312" w:cs="楷体" w:hAnsiTheme="majorEastAsia"/>
          <w:b/>
          <w:bCs/>
          <w:color w:val="000000" w:themeColor="text1"/>
        </w:rPr>
        <w:t>（一）一般公共预算执行情况</w:t>
      </w:r>
    </w:p>
    <w:p>
      <w:pPr>
        <w:spacing w:line="620" w:lineRule="exact"/>
        <w:ind w:firstLine="632" w:firstLineChars="200"/>
        <w:rPr>
          <w:rFonts w:ascii="仿宋_GB2312"/>
          <w:b/>
          <w:bCs/>
          <w:color w:val="000000" w:themeColor="text1"/>
        </w:rPr>
      </w:pPr>
      <w:r>
        <w:rPr>
          <w:rFonts w:hint="eastAsia" w:ascii="仿宋_GB2312" w:hAnsi="宋体"/>
          <w:b/>
          <w:bCs/>
          <w:color w:val="000000" w:themeColor="text1"/>
        </w:rPr>
        <w:t>1、全市执行情况。</w:t>
      </w:r>
      <w:r>
        <w:rPr>
          <w:rFonts w:hint="eastAsia" w:ascii="仿宋_GB2312"/>
          <w:b/>
          <w:bCs/>
          <w:color w:val="000000" w:themeColor="text1"/>
        </w:rPr>
        <w:t>收入57.23亿元，完成252.8%，增长163.3%</w:t>
      </w:r>
      <w:r>
        <w:rPr>
          <w:rFonts w:hint="eastAsia" w:ascii="仿宋_GB2312"/>
          <w:b/>
          <w:bCs/>
          <w:color w:val="000000" w:themeColor="text1"/>
          <w:sz w:val="30"/>
          <w:szCs w:val="30"/>
        </w:rPr>
        <w:t>（注：各本预算收入完成均指比年初预算、收支增减均指比上年实际）</w:t>
      </w:r>
      <w:r>
        <w:rPr>
          <w:rFonts w:hint="eastAsia" w:ascii="仿宋_GB2312"/>
          <w:b/>
          <w:bCs/>
          <w:color w:val="000000" w:themeColor="text1"/>
        </w:rPr>
        <w:t>,其中：税收收入14.25亿元，完成101.8%，增长5.5%；非税收入42.98亿元，完成497.3%，增长421.6%</w:t>
      </w:r>
      <w:r>
        <w:rPr>
          <w:rFonts w:hint="eastAsia" w:ascii="仿宋_GB2312" w:hAnsi="仿宋_GB2312"/>
          <w:b/>
          <w:bCs/>
          <w:sz w:val="30"/>
          <w:szCs w:val="30"/>
        </w:rPr>
        <w:t>（增长的原因是,2020年市本级实现了英那河水库资产转让的一次性收入32亿元,下称英那河收入）</w:t>
      </w:r>
      <w:r>
        <w:rPr>
          <w:rFonts w:hint="eastAsia" w:ascii="仿宋_GB2312" w:hAnsi="仿宋_GB2312"/>
          <w:b/>
          <w:bCs/>
        </w:rPr>
        <w:t>, 若剔除英那河收入这一因素后，按可比口径计算，增长16%</w:t>
      </w:r>
      <w:r>
        <w:rPr>
          <w:rFonts w:hint="eastAsia" w:ascii="仿宋_GB2312"/>
          <w:b/>
          <w:bCs/>
          <w:color w:val="000000" w:themeColor="text1"/>
        </w:rPr>
        <w:t>。完成的这些收入，加上上级转移支付34.2亿元、调入预算稳定调节基金0.3亿元、调入政府性基金和国有资本经营预算0.6亿元、调入其他资金1.11亿元、债务转贷收入0.45亿元、上年结转收入2.19亿元，全市一般公共预算总收入96.08亿元。支出59.76亿元，下降4.5%，加上上解上级支出7.24亿元、补充预算稳定调节基金26.28亿元、债务还本支出0.01亿元、结转下年支出2.79亿元，全市一般公共预算总支出96.08亿元。收支相抵后平衡。</w:t>
      </w:r>
    </w:p>
    <w:p>
      <w:pPr>
        <w:spacing w:line="620" w:lineRule="exact"/>
        <w:ind w:firstLine="632" w:firstLineChars="200"/>
        <w:rPr>
          <w:rFonts w:ascii="仿宋_GB2312"/>
          <w:b/>
          <w:bCs/>
          <w:color w:val="000000" w:themeColor="text1"/>
        </w:rPr>
      </w:pPr>
      <w:r>
        <w:rPr>
          <w:rFonts w:hint="eastAsia" w:ascii="仿宋_GB2312" w:hAnsi="宋体"/>
          <w:b/>
          <w:bCs/>
          <w:color w:val="000000" w:themeColor="text1"/>
        </w:rPr>
        <w:t>2、市本级执行情况。</w:t>
      </w:r>
      <w:r>
        <w:rPr>
          <w:rFonts w:hint="eastAsia" w:ascii="仿宋_GB2312"/>
          <w:b/>
          <w:bCs/>
          <w:color w:val="000000" w:themeColor="text1"/>
        </w:rPr>
        <w:t>收入46.68亿元，完成351%，增长282.7%。其中：税收收入3.8亿元，完成78.4%，下降15.1%；非税收入42.88亿元，完成507.5%，增长455.6%</w:t>
      </w:r>
      <w:r>
        <w:rPr>
          <w:rFonts w:hint="eastAsia" w:ascii="仿宋_GB2312" w:hAnsi="仿宋_GB2312"/>
          <w:b/>
          <w:bCs/>
        </w:rPr>
        <w:t>。若剔除英那河收入因素后，按可比口径计算，增长20.4%。</w:t>
      </w:r>
      <w:r>
        <w:rPr>
          <w:rFonts w:hint="eastAsia" w:ascii="仿宋_GB2312"/>
          <w:b/>
          <w:bCs/>
          <w:color w:val="000000" w:themeColor="text1"/>
        </w:rPr>
        <w:t>完成的这些收入，加上上级转移支付34.2亿元、下级上解收入2.78亿元、调入政府性基金和国有资本经营预算0.6亿元、债务转贷收入0.45亿元、上年结转收入2.19亿元，市本级一般公共预算总收入86.9亿元。支出48.77亿元，下降1.6%，加上上解上级支出7.24亿元、补助下级支出4.17亿元、补充预算稳定调节基金23.92亿元、债务还本支出0.01亿元、结转下年支出2.79亿元，市本级一般公共预算总支出86.9亿元。收支相抵后平衡。</w:t>
      </w:r>
    </w:p>
    <w:p>
      <w:pPr>
        <w:spacing w:line="620" w:lineRule="exact"/>
        <w:ind w:firstLine="632" w:firstLineChars="200"/>
        <w:rPr>
          <w:rFonts w:ascii="仿宋_GB2312"/>
          <w:b/>
          <w:bCs/>
          <w:color w:val="000000" w:themeColor="text1"/>
        </w:rPr>
      </w:pPr>
      <w:r>
        <w:rPr>
          <w:rFonts w:hint="eastAsia" w:ascii="仿宋_GB2312"/>
          <w:b/>
          <w:bCs/>
          <w:color w:val="000000" w:themeColor="text1"/>
        </w:rPr>
        <w:t>市本级支出具体完成情况。(1)一般公共服务支出1.9亿元，增长2.5%；(2)公共安全支出2.22亿元，增长3.4%；(3)教育支出9.38亿元，增长8.3%；(4)科学技术支出0.03亿元，下降42.8%；</w:t>
      </w:r>
      <w:r>
        <w:rPr>
          <w:rFonts w:hint="eastAsia" w:ascii="仿宋_GB2312"/>
          <w:b/>
          <w:bCs/>
          <w:color w:val="000000" w:themeColor="text1"/>
          <w:spacing w:val="-10"/>
        </w:rPr>
        <w:t>(</w:t>
      </w:r>
      <w:r>
        <w:rPr>
          <w:rFonts w:hint="eastAsia" w:ascii="仿宋_GB2312"/>
          <w:b/>
          <w:bCs/>
          <w:color w:val="000000" w:themeColor="text1"/>
        </w:rPr>
        <w:t>5)文化旅游体育与传媒支出</w:t>
      </w:r>
      <w:r>
        <w:rPr>
          <w:rFonts w:hint="eastAsia" w:ascii="仿宋_GB2312"/>
          <w:b/>
          <w:bCs/>
          <w:color w:val="000000" w:themeColor="text1"/>
          <w:spacing w:val="-10"/>
        </w:rPr>
        <w:t>0.37亿元，下降2.5%；</w:t>
      </w:r>
      <w:r>
        <w:rPr>
          <w:rFonts w:hint="eastAsia" w:ascii="仿宋_GB2312"/>
          <w:b/>
          <w:bCs/>
          <w:color w:val="000000" w:themeColor="text1"/>
        </w:rPr>
        <w:t>(6)社会保障与就业支出9.66亿元，增长10.7%；(7)卫生健康支出4.31亿元，下降12.5%；(8)节能环保支出0.44亿元，下降93.6%；(9)城乡社区支出4.52亿元，增长156.9%；(10)农林水支出8.05亿元，增长9.5%；</w:t>
      </w:r>
      <w:r>
        <w:rPr>
          <w:rFonts w:hint="eastAsia" w:ascii="仿宋_GB2312"/>
          <w:b/>
          <w:bCs/>
          <w:color w:val="000000" w:themeColor="text1"/>
          <w:spacing w:val="20"/>
        </w:rPr>
        <w:t>(11)交通运输支出1.43亿元，增长179%</w:t>
      </w:r>
      <w:r>
        <w:rPr>
          <w:rFonts w:hint="eastAsia" w:ascii="仿宋_GB2312"/>
          <w:b/>
          <w:bCs/>
          <w:color w:val="000000" w:themeColor="text1"/>
        </w:rPr>
        <w:t>；</w:t>
      </w:r>
      <w:r>
        <w:rPr>
          <w:rFonts w:hint="eastAsia" w:ascii="仿宋_GB2312"/>
          <w:b/>
          <w:bCs/>
          <w:color w:val="000000" w:themeColor="text1"/>
          <w:spacing w:val="20"/>
        </w:rPr>
        <w:t>(12)资源勘探信息等支出0.05亿元，下降63.1%；</w:t>
      </w:r>
      <w:r>
        <w:rPr>
          <w:rFonts w:hint="eastAsia" w:ascii="仿宋_GB2312"/>
          <w:b/>
          <w:bCs/>
          <w:color w:val="000000" w:themeColor="text1"/>
        </w:rPr>
        <w:t>(13)商业服务业等支出0.07亿元，增长82.2%；(14)自然资源海洋气象等支出0.49亿元，增长38</w:t>
      </w:r>
      <w:r>
        <w:rPr>
          <w:rFonts w:hint="eastAsia" w:ascii="仿宋_GB2312"/>
          <w:b/>
          <w:bCs/>
          <w:color w:val="000000" w:themeColor="text1"/>
          <w:spacing w:val="-20"/>
        </w:rPr>
        <w:t>%；</w:t>
      </w:r>
      <w:r>
        <w:rPr>
          <w:rFonts w:hint="eastAsia" w:ascii="仿宋_GB2312"/>
          <w:b/>
          <w:bCs/>
          <w:color w:val="000000" w:themeColor="text1"/>
        </w:rPr>
        <w:t>(15)住房保障支出2.35亿元，增长0.9%； (16)粮油物资储备支出0.05亿元，增长27.5%；(17)灾害防治及应急管理支出0.38亿元，下降31.1%；（18）其他支出0.12亿元，增长229.6%；(19)债务付息及发行费支出2.95亿元。</w:t>
      </w:r>
    </w:p>
    <w:p>
      <w:pPr>
        <w:spacing w:line="620" w:lineRule="exact"/>
        <w:ind w:firstLine="632" w:firstLineChars="200"/>
        <w:rPr>
          <w:rFonts w:ascii="仿宋_GB2312"/>
          <w:b/>
          <w:bCs/>
          <w:color w:val="000000" w:themeColor="text1"/>
        </w:rPr>
      </w:pPr>
      <w:r>
        <w:rPr>
          <w:rFonts w:hint="eastAsia" w:ascii="仿宋_GB2312"/>
          <w:b/>
          <w:bCs/>
          <w:color w:val="000000" w:themeColor="text1"/>
        </w:rPr>
        <w:t>上下级财政转移支付情况。上级对我市转移支付34.2亿元</w:t>
      </w:r>
      <w:r>
        <w:rPr>
          <w:rFonts w:hint="eastAsia" w:ascii="仿宋_GB2312"/>
          <w:b/>
          <w:bCs/>
          <w:color w:val="000000" w:themeColor="text1"/>
          <w:sz w:val="30"/>
          <w:szCs w:val="30"/>
        </w:rPr>
        <w:t>（其中：一般性转移支付19.75亿元；专项转移支付14.45亿元）</w:t>
      </w:r>
      <w:r>
        <w:rPr>
          <w:rFonts w:hint="eastAsia" w:ascii="仿宋_GB2312"/>
          <w:b/>
          <w:bCs/>
          <w:color w:val="000000" w:themeColor="text1"/>
        </w:rPr>
        <w:t>。我市市本级对下级转移支付4.17亿元</w:t>
      </w:r>
      <w:r>
        <w:rPr>
          <w:rFonts w:hint="eastAsia" w:ascii="仿宋_GB2312"/>
          <w:b/>
          <w:bCs/>
          <w:color w:val="000000" w:themeColor="text1"/>
          <w:sz w:val="30"/>
          <w:szCs w:val="30"/>
        </w:rPr>
        <w:t>（其中：一般性转移支付2.4亿元；专项转移支付1.77亿元）</w:t>
      </w:r>
      <w:r>
        <w:rPr>
          <w:rFonts w:hint="eastAsia" w:ascii="仿宋_GB2312"/>
          <w:b/>
          <w:bCs/>
          <w:color w:val="000000" w:themeColor="text1"/>
        </w:rPr>
        <w:t>。</w:t>
      </w:r>
    </w:p>
    <w:p>
      <w:pPr>
        <w:spacing w:line="620" w:lineRule="exact"/>
        <w:ind w:firstLine="632" w:firstLineChars="200"/>
        <w:rPr>
          <w:rFonts w:ascii="仿宋_GB2312" w:hAnsi="楷体" w:cs="楷体"/>
          <w:b/>
          <w:bCs/>
          <w:color w:val="000000" w:themeColor="text1"/>
        </w:rPr>
      </w:pPr>
      <w:r>
        <w:rPr>
          <w:rFonts w:hint="eastAsia" w:ascii="仿宋_GB2312" w:hAnsi="楷体" w:cs="楷体"/>
          <w:b/>
          <w:bCs/>
          <w:color w:val="000000" w:themeColor="text1"/>
        </w:rPr>
        <w:t>3、大连北黄海经济区和各街道执行情况。（1）</w:t>
      </w:r>
      <w:r>
        <w:rPr>
          <w:rFonts w:hint="eastAsia" w:ascii="仿宋_GB2312" w:hAnsi="黑体"/>
          <w:b/>
          <w:bCs/>
          <w:color w:val="000000" w:themeColor="text1"/>
        </w:rPr>
        <w:t>大连北黄海经济区完成</w:t>
      </w:r>
      <w:r>
        <w:rPr>
          <w:rFonts w:hint="eastAsia" w:ascii="仿宋_GB2312"/>
          <w:b/>
          <w:bCs/>
          <w:color w:val="000000" w:themeColor="text1"/>
        </w:rPr>
        <w:t>收入1,974万元、支出1,777万元；（2）</w:t>
      </w:r>
      <w:r>
        <w:rPr>
          <w:rFonts w:hint="eastAsia" w:ascii="仿宋_GB2312" w:hAnsi="黑体"/>
          <w:b/>
          <w:bCs/>
          <w:color w:val="000000" w:themeColor="text1"/>
        </w:rPr>
        <w:t>城关街道完成</w:t>
      </w:r>
      <w:r>
        <w:rPr>
          <w:rFonts w:hint="eastAsia" w:ascii="仿宋_GB2312"/>
          <w:b/>
          <w:bCs/>
          <w:color w:val="000000" w:themeColor="text1"/>
        </w:rPr>
        <w:t>收入5,233万元、支出3,371万元；（3）</w:t>
      </w:r>
      <w:r>
        <w:rPr>
          <w:rFonts w:hint="eastAsia" w:ascii="仿宋_GB2312" w:hAnsi="黑体"/>
          <w:b/>
          <w:bCs/>
          <w:color w:val="000000" w:themeColor="text1"/>
        </w:rPr>
        <w:t>兴达街道完成</w:t>
      </w:r>
      <w:r>
        <w:rPr>
          <w:rFonts w:hint="eastAsia" w:ascii="仿宋_GB2312"/>
          <w:b/>
          <w:bCs/>
          <w:color w:val="000000" w:themeColor="text1"/>
        </w:rPr>
        <w:t>收入2,693万元、支出3,299万元；（4）</w:t>
      </w:r>
      <w:r>
        <w:rPr>
          <w:rFonts w:hint="eastAsia" w:ascii="仿宋_GB2312" w:hAnsi="黑体"/>
          <w:b/>
          <w:bCs/>
          <w:color w:val="000000" w:themeColor="text1"/>
        </w:rPr>
        <w:t>新华街道完成</w:t>
      </w:r>
      <w:r>
        <w:rPr>
          <w:rFonts w:hint="eastAsia" w:ascii="仿宋_GB2312"/>
          <w:b/>
          <w:bCs/>
          <w:color w:val="000000" w:themeColor="text1"/>
        </w:rPr>
        <w:t>收入2,919万元、支出3,446万元；（5）</w:t>
      </w:r>
      <w:r>
        <w:rPr>
          <w:rFonts w:hint="eastAsia" w:ascii="仿宋_GB2312" w:hAnsi="黑体"/>
          <w:b/>
          <w:bCs/>
          <w:color w:val="000000" w:themeColor="text1"/>
        </w:rPr>
        <w:t>昌盛街道完成</w:t>
      </w:r>
      <w:r>
        <w:rPr>
          <w:rFonts w:hint="eastAsia" w:ascii="仿宋_GB2312"/>
          <w:b/>
          <w:bCs/>
          <w:color w:val="000000" w:themeColor="text1"/>
        </w:rPr>
        <w:t>收入2,418万元、支出2,002万元。</w:t>
      </w:r>
    </w:p>
    <w:p>
      <w:pPr>
        <w:spacing w:line="620" w:lineRule="exact"/>
        <w:ind w:firstLine="632" w:firstLineChars="200"/>
        <w:rPr>
          <w:rFonts w:ascii="仿宋_GB2312" w:cs="楷体" w:hAnsiTheme="majorEastAsia"/>
          <w:b/>
          <w:bCs/>
          <w:color w:val="000000" w:themeColor="text1"/>
        </w:rPr>
      </w:pPr>
      <w:r>
        <w:rPr>
          <w:rFonts w:hint="eastAsia" w:ascii="仿宋_GB2312" w:cs="楷体" w:hAnsiTheme="majorEastAsia"/>
          <w:b/>
          <w:bCs/>
          <w:color w:val="000000" w:themeColor="text1"/>
        </w:rPr>
        <w:t>（二）政府性基金预算执行情况</w:t>
      </w:r>
    </w:p>
    <w:p>
      <w:pPr>
        <w:spacing w:line="620" w:lineRule="exact"/>
        <w:ind w:firstLine="632" w:firstLineChars="200"/>
        <w:rPr>
          <w:rFonts w:ascii="仿宋_GB2312"/>
          <w:b/>
          <w:bCs/>
          <w:color w:val="000000" w:themeColor="text1"/>
        </w:rPr>
      </w:pPr>
      <w:r>
        <w:rPr>
          <w:rFonts w:hint="eastAsia" w:ascii="仿宋_GB2312"/>
          <w:b/>
          <w:bCs/>
          <w:color w:val="000000" w:themeColor="text1"/>
        </w:rPr>
        <w:t>全市政府性基金预算，收入8.17亿元，完成68.9%，下降20.2%，加上上级补助收入2.96亿元、上年结转1.16亿元、债务转贷收入3.98亿元，全市政府性基金总收入16.27亿元；支出14.23亿元，增长55.8%，加上结转下年支出1.45亿元、调出资金0.59亿元，全市政府性基金总支出16.27亿元。收支相抵后平衡。</w:t>
      </w:r>
    </w:p>
    <w:p>
      <w:pPr>
        <w:spacing w:line="620" w:lineRule="exact"/>
        <w:ind w:firstLine="632" w:firstLineChars="200"/>
        <w:rPr>
          <w:rFonts w:ascii="仿宋_GB2312" w:cs="楷体" w:hAnsiTheme="majorEastAsia"/>
          <w:b/>
          <w:bCs/>
          <w:color w:val="000000" w:themeColor="text1"/>
        </w:rPr>
      </w:pPr>
      <w:r>
        <w:rPr>
          <w:rFonts w:hint="eastAsia" w:ascii="仿宋_GB2312" w:cs="楷体" w:hAnsiTheme="majorEastAsia"/>
          <w:b/>
          <w:bCs/>
          <w:color w:val="000000" w:themeColor="text1"/>
        </w:rPr>
        <w:t>（三）国有资本经营预算执行情况</w:t>
      </w:r>
    </w:p>
    <w:p>
      <w:pPr>
        <w:spacing w:line="620" w:lineRule="exact"/>
        <w:ind w:firstLine="632" w:firstLineChars="200"/>
        <w:rPr>
          <w:rFonts w:ascii="仿宋_GB2312"/>
          <w:b/>
          <w:bCs/>
          <w:color w:val="000000" w:themeColor="text1"/>
        </w:rPr>
      </w:pPr>
      <w:r>
        <w:rPr>
          <w:rFonts w:hint="eastAsia" w:ascii="仿宋_GB2312"/>
          <w:b/>
          <w:bCs/>
          <w:color w:val="000000" w:themeColor="text1"/>
        </w:rPr>
        <w:t>全市国有资本经营预算</w:t>
      </w:r>
      <w:r>
        <w:rPr>
          <w:rFonts w:hint="eastAsia" w:ascii="仿宋_GB2312" w:hAnsi="黑体"/>
          <w:b/>
          <w:bCs/>
          <w:color w:val="000000" w:themeColor="text1"/>
        </w:rPr>
        <w:t>收入</w:t>
      </w:r>
      <w:r>
        <w:rPr>
          <w:rFonts w:hint="eastAsia" w:ascii="仿宋_GB2312"/>
          <w:b/>
          <w:bCs/>
          <w:color w:val="000000" w:themeColor="text1"/>
        </w:rPr>
        <w:t>132万元，</w:t>
      </w:r>
      <w:r>
        <w:rPr>
          <w:rFonts w:hint="eastAsia" w:ascii="仿宋_GB2312" w:hAnsi="黑体"/>
          <w:b/>
          <w:bCs/>
          <w:color w:val="000000" w:themeColor="text1"/>
        </w:rPr>
        <w:t>不列支出，全部转入一般公共预算。</w:t>
      </w:r>
    </w:p>
    <w:p>
      <w:pPr>
        <w:spacing w:line="620" w:lineRule="exact"/>
        <w:ind w:firstLine="632" w:firstLineChars="200"/>
        <w:rPr>
          <w:rFonts w:ascii="仿宋_GB2312" w:cs="楷体" w:hAnsiTheme="majorEastAsia"/>
          <w:b/>
          <w:bCs/>
          <w:color w:val="000000" w:themeColor="text1"/>
        </w:rPr>
      </w:pPr>
      <w:r>
        <w:rPr>
          <w:rFonts w:hint="eastAsia" w:ascii="仿宋_GB2312" w:cs="楷体" w:hAnsiTheme="majorEastAsia"/>
          <w:b/>
          <w:bCs/>
          <w:color w:val="000000" w:themeColor="text1"/>
        </w:rPr>
        <w:t>（四）社会保险基金预算执行情况</w:t>
      </w:r>
    </w:p>
    <w:p>
      <w:pPr>
        <w:spacing w:line="620" w:lineRule="exact"/>
        <w:ind w:firstLine="632" w:firstLineChars="200"/>
        <w:rPr>
          <w:rFonts w:ascii="仿宋_GB2312"/>
          <w:b/>
          <w:bCs/>
          <w:color w:val="000000" w:themeColor="text1"/>
        </w:rPr>
      </w:pPr>
      <w:r>
        <w:rPr>
          <w:rFonts w:hint="eastAsia" w:ascii="仿宋_GB2312" w:hAnsi="仿宋_GB2312" w:cs="仿宋_GB2312"/>
          <w:b/>
          <w:bCs/>
        </w:rPr>
        <w:t>我市负责统筹的是机关事业单位养老保险基金</w:t>
      </w:r>
      <w:r>
        <w:rPr>
          <w:rFonts w:hint="eastAsia" w:ascii="仿宋_GB2312" w:hAnsi="仿宋_GB2312" w:cs="仿宋_GB2312"/>
          <w:b/>
          <w:bCs/>
          <w:sz w:val="30"/>
          <w:szCs w:val="30"/>
        </w:rPr>
        <w:t>（均为市本级），</w:t>
      </w:r>
      <w:r>
        <w:rPr>
          <w:rFonts w:hint="eastAsia" w:ascii="仿宋_GB2312" w:hAnsi="仿宋_GB2312" w:cs="仿宋_GB2312"/>
          <w:b/>
          <w:bCs/>
        </w:rPr>
        <w:t>收入</w:t>
      </w:r>
      <w:r>
        <w:rPr>
          <w:rFonts w:hint="eastAsia" w:ascii="仿宋_GB2312" w:hAnsi="仿宋_GB2312"/>
          <w:b/>
          <w:bCs/>
          <w:color w:val="000000" w:themeColor="text1"/>
        </w:rPr>
        <w:t>7.41亿元</w:t>
      </w:r>
      <w:r>
        <w:rPr>
          <w:rFonts w:hint="eastAsia" w:ascii="仿宋_GB2312"/>
          <w:b/>
          <w:bCs/>
          <w:color w:val="000000" w:themeColor="text1"/>
          <w:sz w:val="30"/>
          <w:szCs w:val="30"/>
        </w:rPr>
        <w:t>（含财政对收支逆差的补助</w:t>
      </w:r>
      <w:r>
        <w:rPr>
          <w:rFonts w:hint="eastAsia" w:ascii="仿宋_GB2312" w:hAnsi="仿宋_GB2312"/>
          <w:b/>
          <w:bCs/>
          <w:color w:val="000000" w:themeColor="text1"/>
          <w:sz w:val="30"/>
          <w:szCs w:val="30"/>
        </w:rPr>
        <w:t>4.62</w:t>
      </w:r>
      <w:r>
        <w:rPr>
          <w:rFonts w:hint="eastAsia" w:ascii="仿宋_GB2312"/>
          <w:b/>
          <w:bCs/>
          <w:color w:val="000000" w:themeColor="text1"/>
          <w:sz w:val="30"/>
          <w:szCs w:val="30"/>
        </w:rPr>
        <w:t>亿元）</w:t>
      </w:r>
      <w:r>
        <w:rPr>
          <w:rFonts w:hint="eastAsia" w:ascii="仿宋_GB2312" w:hAnsi="仿宋_GB2312"/>
          <w:b/>
          <w:bCs/>
          <w:color w:val="000000" w:themeColor="text1"/>
        </w:rPr>
        <w:t>；</w:t>
      </w:r>
      <w:r>
        <w:rPr>
          <w:rFonts w:hint="eastAsia" w:ascii="仿宋_GB2312" w:hAnsi="宋体"/>
          <w:b/>
          <w:bCs/>
          <w:color w:val="000000" w:themeColor="text1"/>
        </w:rPr>
        <w:t>支出</w:t>
      </w:r>
      <w:r>
        <w:rPr>
          <w:rFonts w:hint="eastAsia" w:ascii="仿宋_GB2312" w:hAnsi="仿宋_GB2312"/>
          <w:b/>
          <w:bCs/>
          <w:color w:val="000000" w:themeColor="text1"/>
        </w:rPr>
        <w:t>7.42亿元，</w:t>
      </w:r>
      <w:r>
        <w:rPr>
          <w:rFonts w:hint="eastAsia" w:ascii="仿宋_GB2312" w:hAnsi="宋体"/>
          <w:b/>
          <w:bCs/>
          <w:color w:val="000000" w:themeColor="text1"/>
        </w:rPr>
        <w:t>收支相抵，</w:t>
      </w:r>
      <w:r>
        <w:rPr>
          <w:rFonts w:hint="eastAsia" w:ascii="仿宋_GB2312" w:hAnsi="仿宋_GB2312"/>
          <w:b/>
          <w:bCs/>
          <w:color w:val="000000" w:themeColor="text1"/>
        </w:rPr>
        <w:t>差额0.01亿元，通过历年滚存结余解决。</w:t>
      </w:r>
    </w:p>
    <w:p>
      <w:pPr>
        <w:spacing w:line="620" w:lineRule="exact"/>
        <w:ind w:firstLine="632" w:firstLineChars="200"/>
        <w:rPr>
          <w:rFonts w:ascii="仿宋_GB2312" w:hAnsi="仿宋_GB2312"/>
          <w:b/>
          <w:bCs/>
          <w:color w:val="000000" w:themeColor="text1"/>
        </w:rPr>
      </w:pPr>
      <w:r>
        <w:rPr>
          <w:rFonts w:hint="eastAsia" w:ascii="仿宋_GB2312" w:hAnsi="黑体"/>
          <w:b/>
          <w:bCs/>
          <w:color w:val="000000" w:themeColor="text1"/>
        </w:rPr>
        <w:t>债务情况。</w:t>
      </w:r>
      <w:r>
        <w:rPr>
          <w:rFonts w:hint="eastAsia" w:ascii="仿宋_GB2312" w:hAnsi="仿宋_GB2312"/>
          <w:b/>
          <w:bCs/>
          <w:color w:val="000000" w:themeColor="text1"/>
        </w:rPr>
        <w:t>当年，我市由上级政府代发再融资债券12.61亿元，及时置换了到期债务；筹措资金偿还债务本金7.88亿元；当年新增政府债券4.44亿元</w:t>
      </w:r>
      <w:r>
        <w:rPr>
          <w:rFonts w:hint="eastAsia" w:ascii="仿宋_GB2312" w:hAnsi="仿宋_GB2312"/>
          <w:b/>
          <w:bCs/>
          <w:color w:val="000000" w:themeColor="text1"/>
          <w:sz w:val="30"/>
          <w:szCs w:val="30"/>
        </w:rPr>
        <w:t>（其中：一般债券0.46亿元；专项债券3.98万元）</w:t>
      </w:r>
      <w:r>
        <w:rPr>
          <w:rFonts w:hint="eastAsia" w:ascii="仿宋_GB2312" w:hAnsi="仿宋_GB2312"/>
          <w:b/>
          <w:bCs/>
          <w:color w:val="000000" w:themeColor="text1"/>
        </w:rPr>
        <w:t>；政府债务余额132.51亿元，控制在上级政府下达的债务限额以内。</w:t>
      </w:r>
    </w:p>
    <w:p>
      <w:pPr>
        <w:spacing w:line="620" w:lineRule="exact"/>
        <w:ind w:firstLine="632" w:firstLineChars="200"/>
        <w:rPr>
          <w:rFonts w:ascii="仿宋_GB2312"/>
          <w:b/>
          <w:bCs/>
        </w:rPr>
      </w:pPr>
      <w:r>
        <w:rPr>
          <w:rFonts w:hint="eastAsia" w:ascii="仿宋_GB2312"/>
          <w:b/>
        </w:rPr>
        <w:t>2020年，我们一以贯之地落实减税降费政策，积极应对突如其来的新冠疫情，坚持“自力更生为主、争取外援为辅”的方针，在两个方面着力创新。一方面，着力增收节支。发挥主观能动性，千方百计增加财政收入，最大限度消弭减收因素影响，税收等经常性收入完成了收入预期并略有增长，创造性的实现了英那河水库资产转让和PPP特许经营权转让等大宗非税收入。</w:t>
      </w:r>
      <w:r>
        <w:rPr>
          <w:rFonts w:hint="eastAsia" w:ascii="仿宋_GB2312"/>
          <w:b/>
          <w:bCs/>
        </w:rPr>
        <w:t>当年，一般公共预算收入达到57.23亿元，突破历史最高水平，比年初预算超收了34.59亿元。</w:t>
      </w:r>
      <w:r>
        <w:rPr>
          <w:rFonts w:hint="eastAsia" w:ascii="仿宋_GB2312"/>
          <w:b/>
        </w:rPr>
        <w:t>与此同时，压减一般性支出、保障重点支出。对支出进行梳理和排序，取消了不必要的项目、延缓非急需的项目，把有限的资金用在 “三保”等重点支出上。保障了防范疫情所需的必要支出、按时发放了</w:t>
      </w:r>
      <w:r>
        <w:rPr>
          <w:rFonts w:hint="eastAsia" w:ascii="仿宋_GB2312"/>
          <w:b/>
          <w:bCs/>
        </w:rPr>
        <w:t>工资并兑现了部分绩效考核奖、按照国家的标准和范围保障了教育、卫生等基本民生支出、偿付了部分工程欠款。另一方面，着力争取政策红利。利用国家为应对新冠疫情所出台的政策，积极争取上级资金，做大政府财力。当年在经常性转移支付之外，我们又争取上级资金5.9亿元，其中：县级基本财力保障奖补资金1.8亿元，抗疫特别国债资金4.1亿元。上述两方面的努力使得今年的财政运行体现了难中向好的态势，也为下年财政运行打下了良好的基础。当然，我们也应清醒地认识到，财政运行中存在的收入结构失衡、债务居高不下、收支矛盾突出、资金调度紧张等难题没有从根本上解决，需要在以后年度一一化解。</w:t>
      </w:r>
    </w:p>
    <w:p>
      <w:pPr>
        <w:spacing w:line="620" w:lineRule="exact"/>
        <w:ind w:firstLine="623" w:firstLineChars="197"/>
        <w:rPr>
          <w:rFonts w:ascii="仿宋_GB2312" w:hAnsi="黑体"/>
          <w:b/>
          <w:bCs/>
          <w:color w:val="000000" w:themeColor="text1"/>
        </w:rPr>
      </w:pPr>
      <w:r>
        <w:rPr>
          <w:rFonts w:hint="eastAsia" w:ascii="仿宋_GB2312" w:hAnsi="黑体"/>
          <w:b/>
          <w:bCs/>
          <w:color w:val="000000" w:themeColor="text1"/>
        </w:rPr>
        <w:t>二、2021年预算草案</w:t>
      </w:r>
    </w:p>
    <w:p>
      <w:pPr>
        <w:spacing w:line="640" w:lineRule="exact"/>
        <w:ind w:firstLine="632" w:firstLineChars="200"/>
        <w:rPr>
          <w:rFonts w:ascii="仿宋_GB2312"/>
          <w:b/>
        </w:rPr>
      </w:pPr>
      <w:r>
        <w:rPr>
          <w:rFonts w:hint="eastAsia" w:ascii="仿宋_GB2312"/>
          <w:b/>
        </w:rPr>
        <w:t>我市2021年度财政预算编制的指导思想是：深入贯彻习近平新时代中国特色社会主义思想和党的十九大及十九届二中、三中、四中、五中全会精神，坚持稳中求进工作总基调，坚持新发展理念，牢牢抓住高质量发展这个根本要求，提高政治站位，强化政治担当，全面做好“六稳”“六保”工作。统筹推动稳增长、补短板、促改革、惠民生、防风险、保稳定，促进财政资金提质增效。落实政府过“紧日子”要求，坚持“以收定支”原则，厉行节约，反对浪费，将有限的财力、资金优先用于保障急重领域支出。建立全面规范透明、标准科学、约束有力的预算制度，构建现代财政管理体系。将“财为政服务”“财为民所用”贯穿财政工作全过程，助推庄河经济、社会发展再上新台阶。</w:t>
      </w:r>
    </w:p>
    <w:p>
      <w:pPr>
        <w:spacing w:line="640" w:lineRule="exact"/>
        <w:ind w:firstLine="632" w:firstLineChars="200"/>
        <w:rPr>
          <w:rFonts w:ascii="仿宋_GB2312" w:hAnsi="仿宋_GB2312"/>
          <w:b/>
          <w:bCs/>
        </w:rPr>
      </w:pPr>
      <w:r>
        <w:rPr>
          <w:rFonts w:hint="eastAsia" w:ascii="仿宋_GB2312"/>
          <w:b/>
        </w:rPr>
        <w:t>2021 年预算安排基本原则是：</w:t>
      </w:r>
      <w:r>
        <w:rPr>
          <w:rFonts w:hint="eastAsia" w:ascii="仿宋_GB2312" w:hAnsi="黑体"/>
          <w:b/>
        </w:rPr>
        <w:t>1、收入预算坚持实事求是，积极稳妥。</w:t>
      </w:r>
      <w:r>
        <w:rPr>
          <w:rFonts w:hint="eastAsia" w:ascii="仿宋_GB2312"/>
          <w:b/>
        </w:rPr>
        <w:t>收入预算在充分考虑减税降费政策影响基础上，合理测算税收预期。开拓收入来源，加大存量资产资源盘活力度，实现PPP项目特许经营权转让收入等大宗非税收入。</w:t>
      </w:r>
      <w:r>
        <w:rPr>
          <w:rFonts w:hint="eastAsia" w:ascii="仿宋_GB2312" w:hAnsi="黑体"/>
          <w:b/>
        </w:rPr>
        <w:t>2、支出预算坚持量力而行，尽力而为。</w:t>
      </w:r>
      <w:r>
        <w:rPr>
          <w:rFonts w:hint="eastAsia" w:ascii="仿宋_GB2312" w:hAnsi="楷体_GB2312" w:cs="楷体_GB2312"/>
          <w:b/>
          <w:bCs/>
        </w:rPr>
        <w:t>优先安排保基本民生、保工资、保运转支出，兜牢“三保”底线；妥善安排PPP项目运营补贴支出；适当安排部门为完成特别行政任务的专项支出；压减一般性开支，“三公”经费只减不增；</w:t>
      </w:r>
      <w:r>
        <w:rPr>
          <w:rFonts w:hint="eastAsia" w:ascii="仿宋_GB2312" w:hAnsi="仿宋_GB2312" w:cs="仿宋_GB2312"/>
          <w:b/>
          <w:bCs/>
        </w:rPr>
        <w:t>量力安排基本建设支出，对往年工程欠款和必要的续建项目作适当安排</w:t>
      </w:r>
      <w:r>
        <w:rPr>
          <w:rFonts w:hint="eastAsia" w:ascii="仿宋_GB2312" w:hAnsi="楷体_GB2312" w:cs="楷体_GB2312"/>
          <w:b/>
          <w:bCs/>
        </w:rPr>
        <w:t>，对当年新建项目尽量不安排或少安排。</w:t>
      </w:r>
      <w:r>
        <w:rPr>
          <w:rFonts w:hint="eastAsia" w:ascii="仿宋_GB2312" w:hAnsi="黑体" w:cs="楷体_GB2312"/>
          <w:b/>
          <w:bCs/>
        </w:rPr>
        <w:t>3、债务安排坚持精准施策，防范风险。</w:t>
      </w:r>
      <w:r>
        <w:rPr>
          <w:rFonts w:hint="eastAsia" w:ascii="仿宋_GB2312" w:hAnsi="楷体_GB2312" w:cs="楷体_GB2312"/>
          <w:b/>
          <w:bCs/>
        </w:rPr>
        <w:t>对到期的政府债券本金通过发行再融资债券予以置换，对到期的政府债券利息足额安排，不留缺口。</w:t>
      </w:r>
      <w:r>
        <w:rPr>
          <w:rFonts w:hint="eastAsia" w:ascii="仿宋_GB2312" w:hAnsi="黑体" w:cs="楷体_GB2312"/>
          <w:b/>
          <w:bCs/>
        </w:rPr>
        <w:t>4、预算编制坚持周密完整，力求平衡。</w:t>
      </w:r>
      <w:r>
        <w:rPr>
          <w:rFonts w:hint="eastAsia" w:ascii="仿宋_GB2312" w:hAnsi="楷体_GB2312" w:cs="楷体_GB2312"/>
          <w:b/>
          <w:bCs/>
        </w:rPr>
        <w:t>将上级提前告知转移支付悉数编入预算。合理盘算政府可用财力，通过盘活存量资金</w:t>
      </w:r>
      <w:r>
        <w:rPr>
          <w:rFonts w:hint="eastAsia" w:ascii="仿宋_GB2312" w:hAnsi="仿宋_GB2312"/>
          <w:b/>
          <w:bCs/>
        </w:rPr>
        <w:t>、强化各本预算衔接、调入预算稳定调节基金等办法，尽力做到预算平衡。</w:t>
      </w:r>
    </w:p>
    <w:p>
      <w:pPr>
        <w:spacing w:line="640" w:lineRule="exact"/>
        <w:ind w:firstLine="632" w:firstLineChars="200"/>
        <w:rPr>
          <w:rFonts w:ascii="仿宋_GB2312" w:hAnsi="仿宋_GB2312"/>
          <w:b/>
          <w:bCs/>
        </w:rPr>
      </w:pPr>
      <w:r>
        <w:rPr>
          <w:rFonts w:hint="eastAsia" w:ascii="仿宋_GB2312" w:hAnsi="仿宋_GB2312"/>
          <w:b/>
          <w:bCs/>
        </w:rPr>
        <w:t>遵循上述思想与原则，并按照市七届人大常委会第23次会议审议意见作了修改，编成我市2021年财政预算草案</w:t>
      </w:r>
      <w:r>
        <w:rPr>
          <w:rFonts w:hint="eastAsia" w:ascii="仿宋_GB2312" w:hAnsi="仿宋_GB2312"/>
          <w:b/>
          <w:bCs/>
          <w:sz w:val="30"/>
          <w:szCs w:val="30"/>
        </w:rPr>
        <w:t>（详见附表）</w:t>
      </w:r>
      <w:r>
        <w:rPr>
          <w:rFonts w:hint="eastAsia" w:ascii="仿宋_GB2312" w:hAnsi="仿宋_GB2312"/>
          <w:b/>
          <w:bCs/>
        </w:rPr>
        <w:t>分别如下：</w:t>
      </w:r>
    </w:p>
    <w:p>
      <w:pPr>
        <w:spacing w:line="640" w:lineRule="exact"/>
        <w:ind w:firstLine="690"/>
        <w:rPr>
          <w:rFonts w:ascii="仿宋_GB2312" w:hAnsiTheme="minorEastAsia"/>
          <w:b/>
          <w:bCs/>
        </w:rPr>
      </w:pPr>
      <w:r>
        <w:rPr>
          <w:rFonts w:hint="eastAsia" w:ascii="仿宋_GB2312" w:hAnsiTheme="minorEastAsia"/>
          <w:b/>
          <w:bCs/>
        </w:rPr>
        <w:t>（一）一般公共预算</w:t>
      </w:r>
    </w:p>
    <w:p>
      <w:pPr>
        <w:spacing w:line="640" w:lineRule="exact"/>
        <w:ind w:firstLine="620" w:firstLineChars="196"/>
        <w:rPr>
          <w:rFonts w:ascii="仿宋_GB2312" w:hAnsi="仿宋_GB2312"/>
          <w:b/>
          <w:bCs/>
        </w:rPr>
      </w:pPr>
      <w:r>
        <w:rPr>
          <w:rFonts w:hint="eastAsia" w:ascii="仿宋_GB2312" w:hAnsi="仿宋_GB2312"/>
          <w:b/>
          <w:bCs/>
        </w:rPr>
        <w:t>1、市本级一般公共预算</w:t>
      </w:r>
    </w:p>
    <w:p>
      <w:pPr>
        <w:spacing w:line="640" w:lineRule="exact"/>
        <w:ind w:firstLine="620" w:firstLineChars="196"/>
        <w:rPr>
          <w:rFonts w:ascii="仿宋_GB2312" w:hAnsi="仿宋_GB2312"/>
          <w:b/>
          <w:bCs/>
        </w:rPr>
      </w:pPr>
      <w:r>
        <w:rPr>
          <w:rFonts w:hint="eastAsia" w:ascii="仿宋_GB2312" w:hAnsi="仿宋_GB2312"/>
          <w:b/>
          <w:bCs/>
        </w:rPr>
        <w:t>收入20.22亿元，下降</w:t>
      </w:r>
      <w:r>
        <w:rPr>
          <w:rFonts w:hint="eastAsia" w:ascii="仿宋_GB2312" w:hAnsi="仿宋_GB2312"/>
          <w:b/>
          <w:bCs/>
          <w:sz w:val="30"/>
          <w:szCs w:val="30"/>
        </w:rPr>
        <w:t>（收入预算的增减均指比上年实际）</w:t>
      </w:r>
      <w:r>
        <w:rPr>
          <w:rFonts w:hint="eastAsia" w:ascii="仿宋_GB2312" w:hAnsi="仿宋_GB2312"/>
          <w:b/>
          <w:bCs/>
        </w:rPr>
        <w:t>56.7%,其中：税收收入4.92亿元，增长29.4%；非税收入15.3亿元，下降64.3%</w:t>
      </w:r>
      <w:r>
        <w:rPr>
          <w:rFonts w:hint="eastAsia" w:ascii="仿宋_GB2312" w:hAnsi="仿宋_GB2312"/>
          <w:b/>
          <w:bCs/>
          <w:sz w:val="30"/>
          <w:szCs w:val="30"/>
        </w:rPr>
        <w:t>（下降的原因是,2020年有英那河收入，垫高了基数）</w:t>
      </w:r>
      <w:r>
        <w:rPr>
          <w:rFonts w:hint="eastAsia" w:ascii="仿宋_GB2312" w:hAnsi="仿宋_GB2312"/>
          <w:b/>
          <w:bCs/>
        </w:rPr>
        <w:t>。若剔除英那河收入因素后，按可比口径计算，增长9.9%。当年这一收入，加上上级转移支付收入20.35亿元</w:t>
      </w:r>
      <w:r>
        <w:rPr>
          <w:rFonts w:hint="eastAsia" w:ascii="仿宋_GB2312" w:hAnsi="仿宋_GB2312"/>
          <w:b/>
          <w:bCs/>
          <w:sz w:val="30"/>
          <w:szCs w:val="30"/>
        </w:rPr>
        <w:t>（其中：一般性转移支付16.3亿元，上级已提前告知的专项转移支付4.05亿元）</w:t>
      </w:r>
      <w:r>
        <w:rPr>
          <w:rFonts w:hint="eastAsia" w:ascii="仿宋_GB2312" w:hAnsi="仿宋_GB2312"/>
          <w:b/>
          <w:bCs/>
        </w:rPr>
        <w:t>、下级上解收入2.53亿元、调入预算稳定调节基金15.07亿元、调入国有资本经营预算0.01亿元，市本级收入总量为58.18亿元。</w:t>
      </w:r>
      <w:r>
        <w:rPr>
          <w:rFonts w:hint="eastAsia" w:ascii="仿宋_GB2312" w:hAnsi="黑体"/>
          <w:b/>
          <w:bCs/>
        </w:rPr>
        <w:t>支出</w:t>
      </w:r>
      <w:r>
        <w:rPr>
          <w:rFonts w:hint="eastAsia" w:ascii="仿宋_GB2312" w:hAnsi="仿宋_GB2312"/>
          <w:b/>
          <w:bCs/>
        </w:rPr>
        <w:t>49.43亿元，增长34.8%</w:t>
      </w:r>
      <w:r>
        <w:rPr>
          <w:rFonts w:hint="eastAsia" w:ascii="仿宋_GB2312" w:hAnsi="仿宋_GB2312"/>
          <w:b/>
          <w:bCs/>
          <w:sz w:val="30"/>
          <w:szCs w:val="30"/>
        </w:rPr>
        <w:t>（支出预算的增减均指比上年预算）</w:t>
      </w:r>
      <w:r>
        <w:rPr>
          <w:rFonts w:hint="eastAsia" w:ascii="仿宋_GB2312" w:hAnsi="仿宋_GB2312"/>
          <w:b/>
          <w:bCs/>
        </w:rPr>
        <w:t>。当年这一支出，加上上解上级支出5.8亿元、补助下级支出2.95亿元，市本级支出总量为58.18亿元。收支相抵，预算平衡。</w:t>
      </w:r>
    </w:p>
    <w:p>
      <w:pPr>
        <w:spacing w:line="640" w:lineRule="exact"/>
        <w:ind w:firstLine="623" w:firstLineChars="197"/>
        <w:rPr>
          <w:rFonts w:ascii="仿宋_GB2312"/>
          <w:b/>
        </w:rPr>
      </w:pPr>
      <w:r>
        <w:rPr>
          <w:rFonts w:hint="eastAsia" w:ascii="仿宋_GB2312" w:hAnsi="黑体" w:cs="黑体"/>
          <w:b/>
          <w:bCs/>
        </w:rPr>
        <w:t>市本级一般公共预算支出具体安排：</w:t>
      </w:r>
      <w:r>
        <w:rPr>
          <w:rFonts w:hint="eastAsia" w:ascii="仿宋_GB2312" w:hAnsi="黑体"/>
          <w:b/>
          <w:bCs/>
        </w:rPr>
        <w:t>（1）工资性支出</w:t>
      </w:r>
      <w:r>
        <w:rPr>
          <w:rFonts w:hint="eastAsia" w:ascii="仿宋_GB2312" w:hAnsi="仿宋_GB2312"/>
          <w:b/>
          <w:bCs/>
        </w:rPr>
        <w:t>14.72亿元。（2）</w:t>
      </w:r>
      <w:r>
        <w:rPr>
          <w:rFonts w:hint="eastAsia" w:ascii="仿宋_GB2312" w:hAnsi="黑体"/>
          <w:b/>
          <w:bCs/>
        </w:rPr>
        <w:t>基本运转支出</w:t>
      </w:r>
      <w:r>
        <w:rPr>
          <w:rFonts w:hint="eastAsia" w:ascii="仿宋_GB2312" w:hAnsi="仿宋_GB2312"/>
          <w:b/>
          <w:bCs/>
        </w:rPr>
        <w:t>0.68亿元。（3）</w:t>
      </w:r>
      <w:r>
        <w:rPr>
          <w:rFonts w:hint="eastAsia" w:ascii="仿宋_GB2312" w:hAnsi="黑体"/>
          <w:b/>
          <w:bCs/>
        </w:rPr>
        <w:t>基本民生支出</w:t>
      </w:r>
      <w:r>
        <w:rPr>
          <w:rFonts w:hint="eastAsia" w:ascii="仿宋_GB2312" w:hAnsi="仿宋_GB2312"/>
          <w:b/>
          <w:bCs/>
        </w:rPr>
        <w:t>3.66亿元。按照上级保障标准和本级承担比例，对义务教育和基本的养老保险、就业服务、医疗保障、卫生计生、生活救助、住房保障等基本公共服务事项，作了足额安排。（4）</w:t>
      </w:r>
      <w:r>
        <w:rPr>
          <w:rFonts w:hint="eastAsia" w:ascii="仿宋_GB2312" w:hAnsi="黑体"/>
          <w:b/>
        </w:rPr>
        <w:t>完成特别行政任务支出</w:t>
      </w:r>
      <w:r>
        <w:rPr>
          <w:rFonts w:hint="eastAsia" w:ascii="仿宋_GB2312"/>
          <w:b/>
        </w:rPr>
        <w:t>2.38亿元。主要是为维稳和完成扫黑除恶、食品安全等专项任务，为支持教育、农林水、自然资源、文化传媒等项事业发展提供基本保障。</w:t>
      </w:r>
      <w:r>
        <w:rPr>
          <w:rFonts w:hint="eastAsia" w:ascii="仿宋_GB2312" w:hAnsi="仿宋_GB2312"/>
          <w:b/>
          <w:bCs/>
        </w:rPr>
        <w:t>（5）</w:t>
      </w:r>
      <w:r>
        <w:rPr>
          <w:rFonts w:hint="eastAsia" w:ascii="仿宋_GB2312" w:hAnsi="黑体"/>
          <w:b/>
          <w:bCs/>
        </w:rPr>
        <w:t>基本建设支出</w:t>
      </w:r>
      <w:r>
        <w:rPr>
          <w:rFonts w:hint="eastAsia" w:ascii="仿宋_GB2312" w:hAnsi="仿宋_GB2312"/>
          <w:b/>
          <w:bCs/>
        </w:rPr>
        <w:t>0.89亿元。主要用于偿还工程欠款、工程续建。（6）城域污水处理、海绵城市等</w:t>
      </w:r>
      <w:r>
        <w:rPr>
          <w:rFonts w:hint="eastAsia" w:ascii="仿宋_GB2312" w:hAnsi="黑体"/>
          <w:b/>
          <w:bCs/>
        </w:rPr>
        <w:t>PPP项目运营补贴支出5.68亿元。</w:t>
      </w:r>
      <w:r>
        <w:rPr>
          <w:rFonts w:hint="eastAsia" w:ascii="仿宋_GB2312" w:hAnsi="仿宋_GB2312"/>
          <w:b/>
          <w:bCs/>
        </w:rPr>
        <w:t>（7）</w:t>
      </w:r>
      <w:r>
        <w:rPr>
          <w:rFonts w:hint="eastAsia" w:ascii="仿宋_GB2312" w:hAnsi="黑体"/>
          <w:b/>
          <w:bCs/>
        </w:rPr>
        <w:t>重点项目支出</w:t>
      </w:r>
      <w:r>
        <w:rPr>
          <w:rFonts w:hint="eastAsia" w:ascii="仿宋_GB2312" w:hAnsi="仿宋_GB2312"/>
          <w:b/>
          <w:bCs/>
        </w:rPr>
        <w:t>0.52亿元。主要用于垃圾处理运营费用、创建卫生城市、科技创新、旅游发展、人才引进等重点项目。（8）</w:t>
      </w:r>
      <w:r>
        <w:rPr>
          <w:rFonts w:hint="eastAsia" w:ascii="仿宋_GB2312" w:hAnsi="黑体"/>
          <w:b/>
          <w:bCs/>
        </w:rPr>
        <w:t>一般债券付息及发行费支出</w:t>
      </w:r>
      <w:r>
        <w:rPr>
          <w:rFonts w:hint="eastAsia" w:ascii="仿宋_GB2312" w:hAnsi="仿宋_GB2312"/>
          <w:b/>
          <w:bCs/>
        </w:rPr>
        <w:t>3.2亿元。（9）</w:t>
      </w:r>
      <w:r>
        <w:rPr>
          <w:rFonts w:hint="eastAsia" w:ascii="仿宋_GB2312" w:hAnsi="黑体"/>
          <w:b/>
          <w:bCs/>
        </w:rPr>
        <w:t>预备费安排</w:t>
      </w:r>
      <w:r>
        <w:rPr>
          <w:rFonts w:hint="eastAsia" w:ascii="仿宋_GB2312" w:hAnsi="仿宋_GB2312"/>
          <w:b/>
          <w:bCs/>
        </w:rPr>
        <w:t>0.9亿元。占一般公共预算支出2%。（10）</w:t>
      </w:r>
      <w:r>
        <w:rPr>
          <w:rFonts w:hint="eastAsia" w:ascii="仿宋_GB2312" w:hAnsi="黑体"/>
          <w:b/>
          <w:bCs/>
        </w:rPr>
        <w:t>预留支出</w:t>
      </w:r>
      <w:r>
        <w:rPr>
          <w:rFonts w:hint="eastAsia" w:ascii="仿宋_GB2312" w:hAnsi="仿宋_GB2312"/>
          <w:b/>
          <w:bCs/>
        </w:rPr>
        <w:t>12.75亿元。主要是预留绩效考核奖7.1亿元、机关事业养老保险逆差4.43亿元、“两会”经费、增人增支结算、第13个月工资、购房补贴等现在还难以确定的支出。（11）</w:t>
      </w:r>
      <w:r>
        <w:rPr>
          <w:rFonts w:hint="eastAsia" w:ascii="仿宋_GB2312" w:hAnsi="黑体"/>
          <w:b/>
          <w:bCs/>
        </w:rPr>
        <w:t>上级专项转移支付支出</w:t>
      </w:r>
      <w:r>
        <w:rPr>
          <w:rFonts w:hint="eastAsia" w:ascii="仿宋_GB2312" w:hAnsi="仿宋_GB2312"/>
          <w:b/>
          <w:bCs/>
        </w:rPr>
        <w:t>4.05亿元</w:t>
      </w:r>
      <w:r>
        <w:rPr>
          <w:rFonts w:hint="eastAsia" w:ascii="仿宋_GB2312" w:hAnsi="仿宋_GB2312"/>
          <w:b/>
          <w:bCs/>
          <w:sz w:val="30"/>
          <w:szCs w:val="30"/>
        </w:rPr>
        <w:t>（上级已提前告知的）</w:t>
      </w:r>
      <w:r>
        <w:rPr>
          <w:rFonts w:hint="eastAsia" w:ascii="仿宋_GB2312" w:hAnsi="仿宋_GB2312"/>
          <w:b/>
          <w:bCs/>
        </w:rPr>
        <w:t>。按上级既定项目，主要用于公共安全、教育、文化、社会保障和就业、农林水、交通运输等方面。</w:t>
      </w:r>
    </w:p>
    <w:p>
      <w:pPr>
        <w:spacing w:line="640" w:lineRule="exact"/>
        <w:ind w:firstLine="623" w:firstLineChars="197"/>
        <w:rPr>
          <w:rFonts w:ascii="仿宋_GB2312"/>
          <w:b/>
          <w:bCs/>
        </w:rPr>
      </w:pPr>
      <w:r>
        <w:rPr>
          <w:rFonts w:hint="eastAsia" w:ascii="仿宋_GB2312" w:hAnsi="黑体" w:cs="黑体"/>
          <w:b/>
          <w:bCs/>
        </w:rPr>
        <w:t>市对下级转移支付安排</w:t>
      </w:r>
      <w:r>
        <w:rPr>
          <w:rFonts w:hint="eastAsia" w:ascii="仿宋_GB2312" w:hAnsi="仿宋_GB2312"/>
          <w:b/>
          <w:bCs/>
        </w:rPr>
        <w:t>2.95亿元，其中：包括农村税费改革转移支付0.81亿元，水源地乡镇补助0.51亿元，基本财力保障补助0.6亿元，非税收入补助0.2亿元，社区工作者薪酬0.2亿元，其他补助0.63亿元。</w:t>
      </w:r>
    </w:p>
    <w:p>
      <w:pPr>
        <w:spacing w:line="640" w:lineRule="exact"/>
        <w:ind w:firstLine="623" w:firstLineChars="197"/>
        <w:rPr>
          <w:rFonts w:ascii="仿宋_GB2312" w:hAnsi="仿宋_GB2312"/>
          <w:b/>
          <w:bCs/>
        </w:rPr>
      </w:pPr>
      <w:r>
        <w:rPr>
          <w:rFonts w:hint="eastAsia" w:ascii="仿宋_GB2312" w:hAnsi="仿宋_GB2312"/>
          <w:b/>
          <w:bCs/>
        </w:rPr>
        <w:t>2、大连北黄海经济开发区</w:t>
      </w:r>
      <w:r>
        <w:rPr>
          <w:rFonts w:hint="eastAsia" w:ascii="仿宋_GB2312" w:hAnsi="仿宋_GB2312"/>
          <w:b/>
          <w:bCs/>
          <w:sz w:val="30"/>
          <w:szCs w:val="30"/>
        </w:rPr>
        <w:t>（新成立的大连北黄海经济开发区,下称北黄海、含明阳街道）</w:t>
      </w:r>
      <w:r>
        <w:rPr>
          <w:rFonts w:hint="eastAsia" w:ascii="仿宋_GB2312" w:hAnsi="仿宋_GB2312"/>
          <w:b/>
          <w:bCs/>
        </w:rPr>
        <w:t>和各街道的一般公共预算</w:t>
      </w:r>
    </w:p>
    <w:p>
      <w:pPr>
        <w:spacing w:line="640" w:lineRule="exact"/>
        <w:ind w:firstLine="623" w:firstLineChars="197"/>
        <w:rPr>
          <w:rFonts w:ascii="仿宋_GB2312"/>
          <w:b/>
          <w:bCs/>
        </w:rPr>
      </w:pPr>
      <w:r>
        <w:rPr>
          <w:rFonts w:hint="eastAsia" w:ascii="仿宋_GB2312" w:hAnsi="仿宋_GB2312"/>
          <w:b/>
          <w:bCs/>
        </w:rPr>
        <w:t>北黄海和各街道编制的一般公共预算分别如下：</w:t>
      </w:r>
    </w:p>
    <w:p>
      <w:pPr>
        <w:spacing w:line="640" w:lineRule="exact"/>
        <w:ind w:firstLine="623" w:firstLineChars="197"/>
        <w:rPr>
          <w:rFonts w:ascii="仿宋_GB2312" w:hAnsi="仿宋_GB2312"/>
          <w:b/>
          <w:bCs/>
        </w:rPr>
      </w:pPr>
      <w:r>
        <w:rPr>
          <w:rFonts w:hint="eastAsia" w:ascii="仿宋_GB2312" w:hAnsi="黑体"/>
          <w:b/>
          <w:bCs/>
        </w:rPr>
        <w:t>（1）北黄海</w:t>
      </w:r>
      <w:r>
        <w:rPr>
          <w:rFonts w:hint="eastAsia" w:ascii="仿宋_GB2312" w:hAnsi="仿宋_GB2312"/>
          <w:b/>
          <w:bCs/>
        </w:rPr>
        <w:t>收入35,400万元，加上上级补助收入6,130万元，收入总量为41,530万元；支出37,776万元，加上上解上级支出3,754万元，支出总量为41,530万元。</w:t>
      </w:r>
    </w:p>
    <w:p>
      <w:pPr>
        <w:spacing w:line="640" w:lineRule="exact"/>
        <w:ind w:firstLine="623" w:firstLineChars="197"/>
        <w:rPr>
          <w:rFonts w:ascii="仿宋_GB2312"/>
          <w:b/>
          <w:bCs/>
        </w:rPr>
      </w:pPr>
      <w:r>
        <w:rPr>
          <w:rFonts w:hint="eastAsia" w:ascii="仿宋_GB2312" w:hAnsi="黑体"/>
          <w:b/>
          <w:bCs/>
        </w:rPr>
        <w:t>（2）城关街道</w:t>
      </w:r>
      <w:r>
        <w:rPr>
          <w:rFonts w:hint="eastAsia" w:ascii="仿宋_GB2312" w:hAnsi="仿宋_GB2312"/>
          <w:b/>
          <w:bCs/>
        </w:rPr>
        <w:t>收入5,566万元，加上上级补助收入642万元、调入资金1,359万元，收入总量为7,567万元；支出3,689万元，加上上解上级支出3,878万元，支出总量为7,567万元。</w:t>
      </w:r>
    </w:p>
    <w:p>
      <w:pPr>
        <w:spacing w:line="640" w:lineRule="exact"/>
        <w:ind w:firstLine="623" w:firstLineChars="197"/>
        <w:rPr>
          <w:rFonts w:ascii="仿宋_GB2312" w:hAnsi="仿宋_GB2312"/>
          <w:b/>
          <w:bCs/>
        </w:rPr>
      </w:pPr>
      <w:r>
        <w:rPr>
          <w:rFonts w:hint="eastAsia" w:ascii="仿宋_GB2312" w:hAnsi="黑体"/>
          <w:b/>
          <w:bCs/>
        </w:rPr>
        <w:t>（3）兴达街道</w:t>
      </w:r>
      <w:r>
        <w:rPr>
          <w:rFonts w:hint="eastAsia" w:ascii="仿宋_GB2312" w:hAnsi="仿宋_GB2312"/>
          <w:b/>
          <w:bCs/>
        </w:rPr>
        <w:t>收入3,340万元，加上上级补助收入1,073万元、调入预算稳定调节基金187万元，收入总量为4,600万元；支出2,950万元，加上上解上级支出1,650万元，支出总量为4,600万元。</w:t>
      </w:r>
    </w:p>
    <w:p>
      <w:pPr>
        <w:spacing w:line="640" w:lineRule="exact"/>
        <w:ind w:firstLine="623" w:firstLineChars="197"/>
        <w:rPr>
          <w:rFonts w:ascii="仿宋_GB2312" w:hAnsi="仿宋_GB2312"/>
          <w:b/>
          <w:bCs/>
        </w:rPr>
      </w:pPr>
      <w:r>
        <w:rPr>
          <w:rFonts w:hint="eastAsia" w:ascii="仿宋_GB2312" w:hAnsi="黑体"/>
          <w:b/>
          <w:bCs/>
        </w:rPr>
        <w:t>（4）新华街道</w:t>
      </w:r>
      <w:r>
        <w:rPr>
          <w:rFonts w:hint="eastAsia" w:ascii="仿宋_GB2312" w:hAnsi="仿宋_GB2312"/>
          <w:b/>
          <w:bCs/>
        </w:rPr>
        <w:t xml:space="preserve">收入3,627万元，加上上级补助收入690万元、调入资金893万元，收入总量为5,210万元；支出2,828万元，加上上解上级支出2,382万元，支出总量为5,210万元。 </w:t>
      </w:r>
    </w:p>
    <w:p>
      <w:pPr>
        <w:spacing w:line="640" w:lineRule="exact"/>
        <w:ind w:firstLine="623" w:firstLineChars="197"/>
        <w:rPr>
          <w:rFonts w:ascii="仿宋_GB2312" w:hAnsi="仿宋_GB2312"/>
          <w:b/>
          <w:bCs/>
        </w:rPr>
      </w:pPr>
      <w:r>
        <w:rPr>
          <w:rFonts w:hint="eastAsia" w:ascii="仿宋_GB2312" w:hAnsi="黑体"/>
          <w:b/>
          <w:bCs/>
        </w:rPr>
        <w:t>（5）昌盛街道</w:t>
      </w:r>
      <w:r>
        <w:rPr>
          <w:rFonts w:hint="eastAsia" w:ascii="仿宋_GB2312" w:hAnsi="仿宋_GB2312"/>
          <w:b/>
          <w:bCs/>
        </w:rPr>
        <w:t>收入1,622万元，加上上级补助收入213万元、调入预算稳定调节基金820万元，收入总量为2,655万元；支出1,880万元，加上上解上级支出775万元，支出总量为2,655万元。</w:t>
      </w:r>
    </w:p>
    <w:p>
      <w:pPr>
        <w:spacing w:line="640" w:lineRule="exact"/>
        <w:ind w:firstLine="623" w:firstLineChars="197"/>
        <w:rPr>
          <w:rFonts w:ascii="仿宋_GB2312" w:hAnsi="宋体" w:cs="宋体"/>
          <w:b/>
        </w:rPr>
      </w:pPr>
      <w:r>
        <w:rPr>
          <w:rFonts w:hint="eastAsia" w:ascii="仿宋_GB2312" w:hAnsi="仿宋_GB2312"/>
          <w:b/>
          <w:bCs/>
        </w:rPr>
        <w:t>3、</w:t>
      </w:r>
      <w:r>
        <w:rPr>
          <w:rFonts w:hint="eastAsia" w:ascii="仿宋_GB2312" w:hAnsi="宋体" w:cs="宋体"/>
          <w:b/>
        </w:rPr>
        <w:t>全市一般公共预算</w:t>
      </w:r>
    </w:p>
    <w:p>
      <w:pPr>
        <w:spacing w:line="640" w:lineRule="exact"/>
        <w:ind w:firstLine="623" w:firstLineChars="197"/>
        <w:rPr>
          <w:rFonts w:ascii="仿宋_GB2312"/>
          <w:b/>
          <w:bCs/>
        </w:rPr>
      </w:pPr>
      <w:r>
        <w:rPr>
          <w:rFonts w:hint="eastAsia" w:ascii="仿宋_GB2312" w:hAnsi="黑体" w:cs="黑体"/>
          <w:b/>
          <w:bCs/>
        </w:rPr>
        <w:t>汇总市本级和北黄海、乡镇、街道的下级预算后，全市</w:t>
      </w:r>
      <w:r>
        <w:rPr>
          <w:rFonts w:hint="eastAsia" w:ascii="仿宋_GB2312" w:hAnsi="黑体" w:cs="黑体"/>
          <w:b/>
          <w:bCs/>
          <w:sz w:val="30"/>
          <w:szCs w:val="30"/>
        </w:rPr>
        <w:t>（我地区总预算）</w:t>
      </w:r>
      <w:r>
        <w:rPr>
          <w:rFonts w:hint="eastAsia" w:ascii="仿宋_GB2312" w:hAnsi="黑体" w:cs="黑体"/>
          <w:b/>
          <w:bCs/>
        </w:rPr>
        <w:t>收入</w:t>
      </w:r>
      <w:r>
        <w:rPr>
          <w:rFonts w:hint="eastAsia" w:ascii="仿宋_GB2312" w:hAnsi="仿宋_GB2312"/>
          <w:b/>
          <w:bCs/>
        </w:rPr>
        <w:t>33.61亿元，比2020年实际完成的61.45亿元减少了27.84亿元，下降45.3%。其中：税收收入17.99亿元，与2020年实际完成的18.01亿元减少了0.02亿元,下降0.1%；非税收入15.62亿元，比2020年实际完成的43.44亿元减少了27.82亿元，下降64%，若剔除英那河收入因素后，按可比口径计算，增长7%。当年这一收入，加上上级转移支付收入20.35亿元</w:t>
      </w:r>
      <w:r>
        <w:rPr>
          <w:rFonts w:hint="eastAsia" w:ascii="仿宋_GB2312" w:hAnsi="仿宋_GB2312"/>
          <w:b/>
          <w:bCs/>
          <w:sz w:val="30"/>
          <w:szCs w:val="30"/>
        </w:rPr>
        <w:t>（其中：一般性转移支付16.3亿元，上级提前告知的专项转移支付4.05亿元）</w:t>
      </w:r>
      <w:r>
        <w:rPr>
          <w:rFonts w:hint="eastAsia" w:ascii="仿宋_GB2312" w:hAnsi="仿宋_GB2312"/>
          <w:b/>
          <w:bCs/>
        </w:rPr>
        <w:t>、调入预算稳定调节基金15.58亿元、调入国有资本经营预算0.01亿元、调入其他资金0.3亿元，全市收入总量为69.85亿元。</w:t>
      </w:r>
      <w:r>
        <w:rPr>
          <w:rFonts w:hint="eastAsia" w:ascii="仿宋_GB2312" w:hAnsi="黑体" w:cs="黑体"/>
          <w:b/>
          <w:bCs/>
        </w:rPr>
        <w:t>支出</w:t>
      </w:r>
      <w:r>
        <w:rPr>
          <w:rFonts w:hint="eastAsia" w:ascii="仿宋_GB2312" w:hAnsi="仿宋_GB2312"/>
          <w:b/>
          <w:bCs/>
        </w:rPr>
        <w:t>64.04亿元，增长18%，加上上解上级支出5.8亿元、债务还本支出0.01亿元，全市支出总量为69.85亿元。</w:t>
      </w:r>
      <w:r>
        <w:rPr>
          <w:rFonts w:hint="eastAsia" w:ascii="仿宋_GB2312" w:hAnsi="楷体_GB2312" w:cs="楷体_GB2312"/>
          <w:b/>
          <w:bCs/>
        </w:rPr>
        <w:t>收支相抵，预算平衡。</w:t>
      </w:r>
    </w:p>
    <w:p>
      <w:pPr>
        <w:spacing w:line="640" w:lineRule="exact"/>
        <w:ind w:firstLine="632" w:firstLineChars="200"/>
        <w:rPr>
          <w:rFonts w:ascii="仿宋_GB2312" w:cs="楷体_GB2312" w:hAnsiTheme="minorEastAsia"/>
          <w:b/>
          <w:bCs/>
        </w:rPr>
      </w:pPr>
      <w:r>
        <w:rPr>
          <w:rFonts w:hint="eastAsia" w:ascii="仿宋_GB2312" w:cs="楷体_GB2312" w:hAnsiTheme="minorEastAsia"/>
          <w:b/>
          <w:bCs/>
        </w:rPr>
        <w:t>（二）政府性基金预算</w:t>
      </w:r>
    </w:p>
    <w:p>
      <w:pPr>
        <w:spacing w:line="640" w:lineRule="exact"/>
        <w:ind w:firstLine="632" w:firstLineChars="200"/>
        <w:rPr>
          <w:rFonts w:ascii="仿宋_GB2312" w:hAnsi="仿宋_GB2312" w:cs="仿宋_GB2312"/>
          <w:b/>
          <w:bCs/>
        </w:rPr>
      </w:pPr>
      <w:r>
        <w:rPr>
          <w:rFonts w:hint="eastAsia" w:ascii="仿宋_GB2312" w:hAnsi="仿宋_GB2312" w:cs="仿宋_GB2312"/>
          <w:b/>
          <w:bCs/>
        </w:rPr>
        <w:t>按照“以收定支、专款专用、收支平衡”原则编制政府性基金预算。</w:t>
      </w:r>
    </w:p>
    <w:p>
      <w:pPr>
        <w:spacing w:line="640" w:lineRule="exact"/>
        <w:ind w:firstLine="632" w:firstLineChars="200"/>
        <w:rPr>
          <w:rFonts w:ascii="仿宋_GB2312" w:hAnsi="仿宋_GB2312" w:cs="仿宋_GB2312"/>
          <w:b/>
          <w:bCs/>
        </w:rPr>
      </w:pPr>
      <w:r>
        <w:rPr>
          <w:rFonts w:hint="eastAsia" w:ascii="仿宋_GB2312" w:hAnsi="仿宋_GB2312" w:cs="仿宋_GB2312"/>
          <w:b/>
          <w:bCs/>
        </w:rPr>
        <w:t>1、市本级政府性基金预算</w:t>
      </w:r>
    </w:p>
    <w:p>
      <w:pPr>
        <w:spacing w:line="640" w:lineRule="exact"/>
        <w:ind w:firstLine="632" w:firstLineChars="200"/>
        <w:rPr>
          <w:rFonts w:ascii="仿宋_GB2312" w:hAnsi="楷体_GB2312" w:cs="楷体_GB2312"/>
          <w:b/>
          <w:bCs/>
        </w:rPr>
      </w:pPr>
      <w:r>
        <w:rPr>
          <w:rFonts w:hint="eastAsia" w:ascii="仿宋_GB2312" w:hAnsi="黑体" w:cs="黑体"/>
          <w:b/>
          <w:bCs/>
        </w:rPr>
        <w:t>收入</w:t>
      </w:r>
      <w:r>
        <w:rPr>
          <w:rFonts w:hint="eastAsia" w:ascii="仿宋_GB2312" w:hAnsi="仿宋_GB2312"/>
          <w:b/>
          <w:bCs/>
        </w:rPr>
        <w:t>10.6亿元，主要包括土地出让金9.3亿元、城市基础设施配套费0.9亿元、污水处理费收入0.15亿元、其他政府性基金收入0.25亿元；</w:t>
      </w:r>
      <w:r>
        <w:rPr>
          <w:rFonts w:hint="eastAsia" w:ascii="仿宋_GB2312" w:hAnsi="黑体" w:cs="黑体"/>
          <w:b/>
          <w:bCs/>
        </w:rPr>
        <w:t>支出</w:t>
      </w:r>
      <w:r>
        <w:rPr>
          <w:rFonts w:hint="eastAsia" w:ascii="仿宋_GB2312" w:hAnsi="仿宋_GB2312"/>
          <w:b/>
          <w:bCs/>
        </w:rPr>
        <w:t>10.6亿元，主要包括土地出让金支出7.25亿元、城市基础设施配套费支出0.9亿元、污水处理费支出0.15亿元、地方政府专项债券付息及发行费用2.3亿元。</w:t>
      </w:r>
      <w:r>
        <w:rPr>
          <w:rFonts w:hint="eastAsia" w:ascii="仿宋_GB2312" w:hAnsi="楷体_GB2312" w:cs="楷体_GB2312"/>
          <w:b/>
          <w:bCs/>
        </w:rPr>
        <w:t>收支相抵，预算平衡。</w:t>
      </w:r>
    </w:p>
    <w:p>
      <w:pPr>
        <w:spacing w:line="640" w:lineRule="exact"/>
        <w:ind w:firstLine="632" w:firstLineChars="200"/>
        <w:rPr>
          <w:rFonts w:ascii="仿宋_GB2312" w:hAnsi="仿宋_GB2312"/>
          <w:b/>
          <w:bCs/>
        </w:rPr>
      </w:pPr>
      <w:r>
        <w:rPr>
          <w:rFonts w:hint="eastAsia" w:ascii="仿宋_GB2312" w:hAnsi="仿宋_GB2312"/>
          <w:b/>
          <w:bCs/>
        </w:rPr>
        <w:t>2、北黄海政府性基金预算</w:t>
      </w:r>
    </w:p>
    <w:p>
      <w:pPr>
        <w:spacing w:line="640" w:lineRule="exact"/>
        <w:ind w:firstLine="632" w:firstLineChars="200"/>
        <w:rPr>
          <w:rFonts w:ascii="仿宋_GB2312" w:hAnsi="楷体_GB2312" w:cs="楷体_GB2312"/>
          <w:b/>
          <w:bCs/>
        </w:rPr>
      </w:pPr>
      <w:r>
        <w:rPr>
          <w:rFonts w:hint="eastAsia" w:ascii="仿宋_GB2312" w:hAnsi="黑体" w:cs="黑体"/>
          <w:b/>
          <w:bCs/>
        </w:rPr>
        <w:t>收入</w:t>
      </w:r>
      <w:r>
        <w:rPr>
          <w:rFonts w:hint="eastAsia" w:ascii="仿宋_GB2312" w:hAnsi="仿宋_GB2312"/>
          <w:b/>
          <w:bCs/>
        </w:rPr>
        <w:t>1.02亿元，主要包括土地出让金1亿元、污水处理费收入0.02亿元；</w:t>
      </w:r>
      <w:r>
        <w:rPr>
          <w:rFonts w:hint="eastAsia" w:ascii="仿宋_GB2312" w:hAnsi="黑体" w:cs="黑体"/>
          <w:b/>
          <w:bCs/>
        </w:rPr>
        <w:t>支出</w:t>
      </w:r>
      <w:r>
        <w:rPr>
          <w:rFonts w:hint="eastAsia" w:ascii="仿宋_GB2312" w:hAnsi="仿宋_GB2312"/>
          <w:b/>
          <w:bCs/>
        </w:rPr>
        <w:t>1.01亿元，主要包括土地出让金支出0.6亿元、污水处理费支出0.02亿元、地方政府专项债券付息及发行费用0.39亿元，加上上解上级支出0.01亿元，总支出1.02亿元。</w:t>
      </w:r>
      <w:r>
        <w:rPr>
          <w:rFonts w:hint="eastAsia" w:ascii="仿宋_GB2312" w:hAnsi="楷体_GB2312" w:cs="楷体_GB2312"/>
          <w:b/>
          <w:bCs/>
        </w:rPr>
        <w:t>收支相抵，预算平衡。</w:t>
      </w:r>
    </w:p>
    <w:p>
      <w:pPr>
        <w:spacing w:line="640" w:lineRule="exact"/>
        <w:ind w:firstLine="632" w:firstLineChars="200"/>
        <w:rPr>
          <w:rFonts w:ascii="仿宋_GB2312" w:hAnsi="楷体_GB2312" w:cs="楷体_GB2312"/>
          <w:b/>
          <w:bCs/>
        </w:rPr>
      </w:pPr>
      <w:r>
        <w:rPr>
          <w:rFonts w:hint="eastAsia" w:ascii="仿宋_GB2312" w:hAnsi="楷体_GB2312" w:cs="楷体_GB2312"/>
          <w:b/>
          <w:bCs/>
        </w:rPr>
        <w:t>3、全市政府性基金预算</w:t>
      </w:r>
    </w:p>
    <w:p>
      <w:pPr>
        <w:spacing w:line="640" w:lineRule="exact"/>
        <w:ind w:firstLine="632" w:firstLineChars="200"/>
        <w:rPr>
          <w:rFonts w:ascii="仿宋_GB2312" w:hAnsi="楷体_GB2312" w:cs="楷体_GB2312"/>
          <w:b/>
          <w:bCs/>
        </w:rPr>
      </w:pPr>
      <w:r>
        <w:rPr>
          <w:rFonts w:hint="eastAsia" w:ascii="仿宋_GB2312" w:hAnsi="楷体_GB2312" w:cs="楷体_GB2312"/>
          <w:b/>
          <w:bCs/>
        </w:rPr>
        <w:t>汇总市本级和北黄海政府性基金预算</w:t>
      </w:r>
      <w:r>
        <w:rPr>
          <w:rFonts w:hint="eastAsia" w:ascii="仿宋_GB2312" w:hAnsi="楷体_GB2312" w:cs="楷体_GB2312"/>
          <w:b/>
          <w:bCs/>
          <w:sz w:val="30"/>
          <w:szCs w:val="30"/>
        </w:rPr>
        <w:t>（乡镇和街道无政府性基金预算）</w:t>
      </w:r>
      <w:r>
        <w:rPr>
          <w:rFonts w:hint="eastAsia" w:ascii="仿宋_GB2312" w:hAnsi="楷体_GB2312" w:cs="楷体_GB2312"/>
          <w:b/>
          <w:bCs/>
        </w:rPr>
        <w:t>，收入11.62亿元；支出11.61亿元，加上上解上级支出0.01亿元，总支出11.62亿元。收支相抵，预算平衡。</w:t>
      </w:r>
    </w:p>
    <w:p>
      <w:pPr>
        <w:spacing w:line="640" w:lineRule="exact"/>
        <w:ind w:firstLine="632" w:firstLineChars="200"/>
        <w:rPr>
          <w:rFonts w:ascii="仿宋_GB2312" w:hAnsiTheme="minorEastAsia"/>
          <w:b/>
          <w:bCs/>
        </w:rPr>
      </w:pPr>
      <w:r>
        <w:rPr>
          <w:rFonts w:hint="eastAsia" w:ascii="仿宋_GB2312" w:cs="楷体_GB2312" w:hAnsiTheme="minorEastAsia"/>
          <w:b/>
          <w:bCs/>
        </w:rPr>
        <w:t>（三）国有资本经营预算</w:t>
      </w:r>
    </w:p>
    <w:p>
      <w:pPr>
        <w:spacing w:line="640" w:lineRule="exact"/>
        <w:ind w:firstLine="632" w:firstLineChars="200"/>
        <w:rPr>
          <w:rFonts w:ascii="仿宋_GB2312"/>
          <w:b/>
          <w:bCs/>
        </w:rPr>
      </w:pPr>
      <w:r>
        <w:rPr>
          <w:rFonts w:hint="eastAsia" w:ascii="仿宋_GB2312" w:hAnsi="仿宋_GB2312" w:cs="仿宋_GB2312"/>
          <w:b/>
          <w:bCs/>
        </w:rPr>
        <w:t>按照“以收定支，不列赤字”原则编制</w:t>
      </w:r>
      <w:r>
        <w:rPr>
          <w:rFonts w:hint="eastAsia" w:ascii="仿宋_GB2312" w:hAnsi="仿宋_GB2312" w:cs="仿宋_GB2312"/>
          <w:b/>
          <w:bCs/>
          <w:sz w:val="30"/>
          <w:szCs w:val="30"/>
        </w:rPr>
        <w:t>（</w:t>
      </w:r>
      <w:r>
        <w:rPr>
          <w:rFonts w:hint="eastAsia" w:ascii="仿宋_GB2312" w:hAnsi="仿宋_GB2312"/>
          <w:b/>
          <w:bCs/>
          <w:sz w:val="30"/>
          <w:szCs w:val="30"/>
        </w:rPr>
        <w:t>均为市本级）</w:t>
      </w:r>
      <w:r>
        <w:rPr>
          <w:rFonts w:hint="eastAsia" w:ascii="仿宋_GB2312" w:hAnsi="仿宋_GB2312"/>
          <w:b/>
          <w:bCs/>
        </w:rPr>
        <w:t>，</w:t>
      </w:r>
      <w:r>
        <w:rPr>
          <w:rFonts w:hint="eastAsia" w:ascii="仿宋_GB2312" w:hAnsi="黑体" w:cs="黑体"/>
          <w:b/>
          <w:bCs/>
        </w:rPr>
        <w:t>收入</w:t>
      </w:r>
      <w:r>
        <w:rPr>
          <w:rFonts w:hint="eastAsia" w:ascii="仿宋_GB2312" w:hAnsi="仿宋_GB2312"/>
          <w:b/>
          <w:bCs/>
        </w:rPr>
        <w:t>158万元，主要是我市国有企业所缴的30%利润，其中：市林水集团121万元，市文旅集团24万元，市企业信用融资担保公司13万元；</w:t>
      </w:r>
      <w:r>
        <w:rPr>
          <w:rFonts w:hint="eastAsia" w:ascii="仿宋_GB2312" w:hAnsi="黑体" w:cs="黑体"/>
          <w:b/>
          <w:bCs/>
        </w:rPr>
        <w:t>不安排支出，全部调入一般公共预算</w:t>
      </w:r>
      <w:r>
        <w:rPr>
          <w:rFonts w:hint="eastAsia" w:ascii="仿宋_GB2312" w:hAnsi="仿宋_GB2312"/>
          <w:b/>
          <w:bCs/>
        </w:rPr>
        <w:t>。</w:t>
      </w:r>
    </w:p>
    <w:p>
      <w:pPr>
        <w:spacing w:line="640" w:lineRule="exact"/>
        <w:ind w:firstLine="632" w:firstLineChars="200"/>
        <w:rPr>
          <w:rFonts w:ascii="仿宋_GB2312" w:cs="楷体_GB2312" w:hAnsiTheme="minorEastAsia"/>
          <w:b/>
          <w:bCs/>
        </w:rPr>
      </w:pPr>
      <w:r>
        <w:rPr>
          <w:rFonts w:hint="eastAsia" w:ascii="仿宋_GB2312" w:cs="楷体_GB2312" w:hAnsiTheme="minorEastAsia"/>
          <w:b/>
          <w:bCs/>
        </w:rPr>
        <w:t>（四）社会保险基金预算</w:t>
      </w:r>
    </w:p>
    <w:p>
      <w:pPr>
        <w:spacing w:line="640" w:lineRule="exact"/>
        <w:ind w:firstLine="632" w:firstLineChars="200"/>
        <w:rPr>
          <w:rFonts w:ascii="仿宋_GB2312"/>
          <w:b/>
          <w:bCs/>
        </w:rPr>
      </w:pPr>
      <w:r>
        <w:rPr>
          <w:rFonts w:hint="eastAsia" w:ascii="仿宋_GB2312" w:hAnsi="仿宋_GB2312" w:cs="仿宋_GB2312"/>
          <w:b/>
          <w:bCs/>
        </w:rPr>
        <w:t>按照我市统筹层次与保障要求编制</w:t>
      </w:r>
      <w:r>
        <w:rPr>
          <w:rFonts w:hint="eastAsia" w:ascii="仿宋_GB2312" w:hAnsi="仿宋_GB2312" w:cs="仿宋_GB2312"/>
          <w:b/>
          <w:bCs/>
          <w:sz w:val="30"/>
          <w:szCs w:val="30"/>
        </w:rPr>
        <w:t>（均为市本级）</w:t>
      </w:r>
      <w:r>
        <w:rPr>
          <w:rFonts w:hint="eastAsia" w:ascii="仿宋_GB2312" w:hAnsi="仿宋_GB2312" w:cs="仿宋_GB2312"/>
          <w:b/>
          <w:bCs/>
        </w:rPr>
        <w:t>，我市负责统筹的是机关事业单位养老保险基金，</w:t>
      </w:r>
      <w:r>
        <w:rPr>
          <w:rFonts w:hint="eastAsia" w:ascii="仿宋_GB2312" w:hAnsi="黑体" w:cs="黑体"/>
          <w:b/>
          <w:bCs/>
        </w:rPr>
        <w:t>收入</w:t>
      </w:r>
      <w:r>
        <w:rPr>
          <w:rFonts w:hint="eastAsia" w:ascii="仿宋_GB2312" w:hAnsi="仿宋_GB2312"/>
          <w:b/>
          <w:bCs/>
        </w:rPr>
        <w:t>8.1亿元，其中：养老保险缴费收入2.64亿元、财政补助收入5.43亿元</w:t>
      </w:r>
      <w:r>
        <w:rPr>
          <w:rFonts w:hint="eastAsia" w:ascii="仿宋_GB2312" w:hAnsi="仿宋_GB2312"/>
          <w:b/>
          <w:bCs/>
          <w:sz w:val="30"/>
          <w:szCs w:val="30"/>
        </w:rPr>
        <w:t>（即收支逆差）</w:t>
      </w:r>
      <w:r>
        <w:rPr>
          <w:rFonts w:hint="eastAsia" w:ascii="仿宋_GB2312" w:hAnsi="仿宋_GB2312"/>
          <w:b/>
          <w:bCs/>
        </w:rPr>
        <w:t>、其他收入0.03亿元；</w:t>
      </w:r>
      <w:r>
        <w:rPr>
          <w:rFonts w:hint="eastAsia" w:ascii="仿宋_GB2312" w:hAnsi="黑体" w:cs="黑体"/>
          <w:b/>
          <w:bCs/>
        </w:rPr>
        <w:t>支出</w:t>
      </w:r>
      <w:r>
        <w:rPr>
          <w:rFonts w:hint="eastAsia" w:ascii="仿宋_GB2312" w:hAnsi="仿宋_GB2312"/>
          <w:b/>
          <w:bCs/>
        </w:rPr>
        <w:t>8.1亿元。收支相抵，预算平衡。</w:t>
      </w:r>
    </w:p>
    <w:p>
      <w:pPr>
        <w:spacing w:line="640" w:lineRule="exact"/>
        <w:ind w:firstLine="632" w:firstLineChars="200"/>
        <w:rPr>
          <w:rFonts w:ascii="仿宋_GB2312" w:hAnsi="仿宋_GB2312"/>
          <w:b/>
          <w:bCs/>
        </w:rPr>
      </w:pPr>
      <w:r>
        <w:rPr>
          <w:rFonts w:hint="eastAsia" w:ascii="仿宋_GB2312" w:hAnsi="仿宋_GB2312"/>
          <w:b/>
          <w:bCs/>
        </w:rPr>
        <w:t>对机关事业单位养老保险给以财政补助的5.43亿元</w:t>
      </w:r>
      <w:r>
        <w:rPr>
          <w:rFonts w:hint="eastAsia" w:ascii="仿宋_GB2312" w:hAnsi="宋体" w:cs="宋体"/>
          <w:b/>
          <w:bCs/>
        </w:rPr>
        <w:t>，</w:t>
      </w:r>
      <w:r>
        <w:rPr>
          <w:rFonts w:hint="eastAsia" w:ascii="仿宋_GB2312" w:hAnsi="仿宋_GB2312"/>
          <w:b/>
          <w:bCs/>
        </w:rPr>
        <w:t>市本级一般公共预算安排4.43亿元，余下1亿元由北黄海、乡镇、街道等下级财政安排。</w:t>
      </w:r>
    </w:p>
    <w:p>
      <w:pPr>
        <w:spacing w:line="640" w:lineRule="exact"/>
        <w:ind w:firstLine="632" w:firstLineChars="200"/>
        <w:rPr>
          <w:rFonts w:ascii="仿宋_GB2312"/>
          <w:b/>
        </w:rPr>
      </w:pPr>
      <w:r>
        <w:rPr>
          <w:rFonts w:hint="eastAsia" w:ascii="仿宋_GB2312"/>
          <w:b/>
        </w:rPr>
        <w:t>2021年是“十四五”开局之年，庄河也进入了发展的新时期，有着发展的新要求，而防范新冠疫情也让庄河面临着新考验，在这样的背景下，执行好新一年的预算尤为关键。为此，我们将做好 “收、支、管、防” 四篇文章。</w:t>
      </w:r>
    </w:p>
    <w:p>
      <w:pPr>
        <w:spacing w:line="640" w:lineRule="exact"/>
        <w:ind w:firstLine="632" w:firstLineChars="200"/>
        <w:rPr>
          <w:rFonts w:ascii="仿宋_GB2312"/>
          <w:b/>
        </w:rPr>
      </w:pPr>
      <w:r>
        <w:rPr>
          <w:rFonts w:hint="eastAsia" w:ascii="仿宋_GB2312"/>
          <w:b/>
        </w:rPr>
        <w:t>一是多措并举增收入。在落实减税降费政策同时，加强部门间的联动，优化营商环境，护住存量财源、开拓增量财源，增加税收等经常性收入；盘活存量资产，增加PPP项目等大宗非税收入；争取县级基本财力保障等一般性转移支付和民生领域的专项直达资金，做大政府财力。</w:t>
      </w:r>
    </w:p>
    <w:p>
      <w:pPr>
        <w:spacing w:line="640" w:lineRule="exact"/>
        <w:ind w:firstLine="620" w:firstLineChars="196"/>
        <w:rPr>
          <w:rFonts w:ascii="仿宋_GB2312"/>
          <w:b/>
        </w:rPr>
      </w:pPr>
      <w:r>
        <w:rPr>
          <w:rFonts w:hint="eastAsia" w:ascii="仿宋_GB2312"/>
          <w:b/>
        </w:rPr>
        <w:t xml:space="preserve">二是管控支出保“三保”。继续坚持过“紧日子”思想， </w:t>
      </w:r>
      <w:r>
        <w:rPr>
          <w:rFonts w:hint="eastAsia" w:ascii="仿宋_GB2312"/>
          <w:b/>
          <w:bCs/>
        </w:rPr>
        <w:t>全面梳理各项支出政策，以支出预算为基本约束，根据轻重缓急，结合需要与可能，动态调整和优化支出结构，统筹调度各项资金，力求支出有序有力。严把财政支出关。持续加大财政性投资审核力度，从严从紧控制一般性开支，“三公”经费只减不增。通过优化结构和压减一般性支出，集中财力优先“保工资、保运转、保民生”</w:t>
      </w:r>
      <w:r>
        <w:rPr>
          <w:rFonts w:hint="eastAsia" w:ascii="仿宋_GB2312"/>
          <w:b/>
        </w:rPr>
        <w:t>。</w:t>
      </w:r>
    </w:p>
    <w:p>
      <w:pPr>
        <w:spacing w:line="640" w:lineRule="exact"/>
        <w:ind w:firstLine="632" w:firstLineChars="200"/>
        <w:rPr>
          <w:rFonts w:ascii="仿宋_GB2312"/>
          <w:b/>
          <w:color w:val="333333"/>
        </w:rPr>
      </w:pPr>
      <w:r>
        <w:rPr>
          <w:rFonts w:hint="eastAsia" w:ascii="仿宋_GB2312"/>
          <w:b/>
        </w:rPr>
        <w:t>三是深化改革促管理。</w:t>
      </w:r>
      <w:r>
        <w:rPr>
          <w:rFonts w:hint="eastAsia" w:ascii="仿宋_GB2312"/>
          <w:b/>
          <w:color w:val="333333"/>
        </w:rPr>
        <w:t>深化园区财政体制改革，制定并完善庄河和大连北黄海经济开发区财政体制，通过体制牵动，提高财政运行质量；</w:t>
      </w:r>
      <w:r>
        <w:rPr>
          <w:rFonts w:hint="eastAsia" w:ascii="仿宋_GB2312"/>
          <w:b/>
          <w:bCs/>
          <w:color w:val="333333"/>
        </w:rPr>
        <w:t>深化支出标准改革，制定并完善公用经费支出定额体系，将过“紧日子”思想落到实处；深入推进预算绩效管理，</w:t>
      </w:r>
      <w:r>
        <w:rPr>
          <w:rFonts w:hint="eastAsia" w:ascii="仿宋_GB2312"/>
          <w:b/>
          <w:color w:val="333333"/>
        </w:rPr>
        <w:t>注重绩效评价结果运用；深化专项资金的管理和使用，上级专项转移支付资金实行直达资金管理，提高资金使用效益。</w:t>
      </w:r>
    </w:p>
    <w:p>
      <w:pPr>
        <w:spacing w:line="640" w:lineRule="exact"/>
        <w:ind w:firstLine="632" w:firstLineChars="200"/>
        <w:rPr>
          <w:rFonts w:ascii="仿宋_GB2312" w:hAnsiTheme="minorHAnsi"/>
          <w:b/>
          <w:bCs/>
          <w:color w:val="333333"/>
        </w:rPr>
      </w:pPr>
      <w:r>
        <w:rPr>
          <w:rFonts w:hint="eastAsia" w:ascii="仿宋_GB2312"/>
          <w:b/>
          <w:color w:val="333333"/>
        </w:rPr>
        <w:t>四是化解债务防风险。</w:t>
      </w:r>
      <w:r>
        <w:rPr>
          <w:rFonts w:hint="eastAsia" w:ascii="仿宋_GB2312"/>
          <w:b/>
          <w:bCs/>
          <w:color w:val="333333"/>
        </w:rPr>
        <w:t>强化地方政府债务限额管理，有序发行政府债券置换系统内到期债务；利用好争取到的地方政府债务化解利好政策，缓解偿债压力；多渠道筹措资金，按期偿付债务本息；积极与金融机构对接，利用灵活类金融工具，防范债务违约、逾期，牢牢守住不发生区域性债务风险的底线。</w:t>
      </w:r>
    </w:p>
    <w:p>
      <w:pPr>
        <w:spacing w:line="640" w:lineRule="exact"/>
        <w:ind w:firstLine="632" w:firstLineChars="200"/>
        <w:rPr>
          <w:rFonts w:ascii="仿宋_GB2312" w:hAnsi="微软雅黑"/>
          <w:b/>
          <w:color w:val="333333"/>
        </w:rPr>
      </w:pPr>
      <w:r>
        <w:rPr>
          <w:rFonts w:hint="eastAsia" w:ascii="仿宋_GB2312" w:hAnsi="微软雅黑"/>
          <w:b/>
          <w:color w:val="333333"/>
        </w:rPr>
        <w:t>各位代表，</w:t>
      </w:r>
      <w:r>
        <w:rPr>
          <w:rFonts w:hint="eastAsia" w:ascii="仿宋_GB2312"/>
          <w:b/>
          <w:bCs/>
          <w:color w:val="000000" w:themeColor="text1"/>
        </w:rPr>
        <w:t>我们将在市委市政府的正确领导下，在市人大的依法监督和市政协的大力支持下，全力以赴做好2021年的预算执行，为我市经济社会在新时代的新发展作出新贡献。</w:t>
      </w:r>
    </w:p>
    <w:p>
      <w:pPr>
        <w:spacing w:line="640" w:lineRule="exact"/>
        <w:ind w:firstLine="632" w:firstLineChars="200"/>
        <w:rPr>
          <w:rFonts w:ascii="仿宋_GB2312" w:hAnsi="微软雅黑"/>
          <w:b/>
          <w:color w:val="333333"/>
        </w:rPr>
      </w:pPr>
    </w:p>
    <w:p>
      <w:pPr>
        <w:spacing w:line="620" w:lineRule="exact"/>
        <w:ind w:firstLine="632" w:firstLineChars="200"/>
        <w:rPr>
          <w:rFonts w:ascii="仿宋_GB2312"/>
          <w:b/>
          <w:bCs/>
          <w:color w:val="000000" w:themeColor="text1"/>
        </w:rPr>
      </w:pPr>
    </w:p>
    <w:sectPr>
      <w:footerReference r:id="rId3" w:type="default"/>
      <w:pgSz w:w="11906" w:h="16838"/>
      <w:pgMar w:top="1440" w:right="1800" w:bottom="1440" w:left="1800" w:header="851" w:footer="1361"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oNotHyphenateCap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A1287"/>
    <w:rsid w:val="00001754"/>
    <w:rsid w:val="00003D90"/>
    <w:rsid w:val="00004CC2"/>
    <w:rsid w:val="000051FB"/>
    <w:rsid w:val="00005637"/>
    <w:rsid w:val="00005A66"/>
    <w:rsid w:val="0000784B"/>
    <w:rsid w:val="00012428"/>
    <w:rsid w:val="00013D14"/>
    <w:rsid w:val="000172F3"/>
    <w:rsid w:val="000236F4"/>
    <w:rsid w:val="00031268"/>
    <w:rsid w:val="00034A95"/>
    <w:rsid w:val="000405F3"/>
    <w:rsid w:val="00040E6D"/>
    <w:rsid w:val="000430D9"/>
    <w:rsid w:val="00045C19"/>
    <w:rsid w:val="000462E7"/>
    <w:rsid w:val="000465F0"/>
    <w:rsid w:val="00055A43"/>
    <w:rsid w:val="00063FD9"/>
    <w:rsid w:val="00067656"/>
    <w:rsid w:val="0007082E"/>
    <w:rsid w:val="00073D6A"/>
    <w:rsid w:val="000762B3"/>
    <w:rsid w:val="00080A5F"/>
    <w:rsid w:val="000819FE"/>
    <w:rsid w:val="00084CF6"/>
    <w:rsid w:val="000878D7"/>
    <w:rsid w:val="000926CD"/>
    <w:rsid w:val="00093B76"/>
    <w:rsid w:val="000946FD"/>
    <w:rsid w:val="00095A7D"/>
    <w:rsid w:val="000A1287"/>
    <w:rsid w:val="000A1A3D"/>
    <w:rsid w:val="000A4373"/>
    <w:rsid w:val="000A4F70"/>
    <w:rsid w:val="000A5665"/>
    <w:rsid w:val="000A66D5"/>
    <w:rsid w:val="000B574C"/>
    <w:rsid w:val="000B5C92"/>
    <w:rsid w:val="000C0F03"/>
    <w:rsid w:val="000C3006"/>
    <w:rsid w:val="000C77AC"/>
    <w:rsid w:val="000D0A50"/>
    <w:rsid w:val="000D7EA1"/>
    <w:rsid w:val="000E20AD"/>
    <w:rsid w:val="000E43BC"/>
    <w:rsid w:val="000E6B66"/>
    <w:rsid w:val="000F0146"/>
    <w:rsid w:val="000F146C"/>
    <w:rsid w:val="000F176C"/>
    <w:rsid w:val="000F35EF"/>
    <w:rsid w:val="000F58F6"/>
    <w:rsid w:val="00100857"/>
    <w:rsid w:val="00100FDC"/>
    <w:rsid w:val="00101C26"/>
    <w:rsid w:val="00105715"/>
    <w:rsid w:val="001112AA"/>
    <w:rsid w:val="00111598"/>
    <w:rsid w:val="00120124"/>
    <w:rsid w:val="00120BB8"/>
    <w:rsid w:val="00124B7C"/>
    <w:rsid w:val="00125A48"/>
    <w:rsid w:val="00130F22"/>
    <w:rsid w:val="001320D8"/>
    <w:rsid w:val="0013283E"/>
    <w:rsid w:val="00137DA9"/>
    <w:rsid w:val="00142422"/>
    <w:rsid w:val="001527DA"/>
    <w:rsid w:val="00155B1A"/>
    <w:rsid w:val="00155B3D"/>
    <w:rsid w:val="00157792"/>
    <w:rsid w:val="0016363E"/>
    <w:rsid w:val="00164E98"/>
    <w:rsid w:val="00166BC6"/>
    <w:rsid w:val="0017163C"/>
    <w:rsid w:val="0017248A"/>
    <w:rsid w:val="00186351"/>
    <w:rsid w:val="00187F40"/>
    <w:rsid w:val="00190E51"/>
    <w:rsid w:val="00192C88"/>
    <w:rsid w:val="00193144"/>
    <w:rsid w:val="001974C0"/>
    <w:rsid w:val="001A2ED5"/>
    <w:rsid w:val="001A4EA6"/>
    <w:rsid w:val="001B1297"/>
    <w:rsid w:val="001B394F"/>
    <w:rsid w:val="001C1E63"/>
    <w:rsid w:val="001C2561"/>
    <w:rsid w:val="001C3989"/>
    <w:rsid w:val="001C64B2"/>
    <w:rsid w:val="001C67D2"/>
    <w:rsid w:val="001C702B"/>
    <w:rsid w:val="001D0DD5"/>
    <w:rsid w:val="001D2270"/>
    <w:rsid w:val="001D2EEB"/>
    <w:rsid w:val="001E066A"/>
    <w:rsid w:val="001E57AE"/>
    <w:rsid w:val="001E7F06"/>
    <w:rsid w:val="001F440C"/>
    <w:rsid w:val="00204332"/>
    <w:rsid w:val="00206B43"/>
    <w:rsid w:val="00210054"/>
    <w:rsid w:val="00211F86"/>
    <w:rsid w:val="00213542"/>
    <w:rsid w:val="0021669E"/>
    <w:rsid w:val="002174F9"/>
    <w:rsid w:val="00234F5D"/>
    <w:rsid w:val="00234FFE"/>
    <w:rsid w:val="0023726B"/>
    <w:rsid w:val="00241EF6"/>
    <w:rsid w:val="00242712"/>
    <w:rsid w:val="0025062D"/>
    <w:rsid w:val="00250FD8"/>
    <w:rsid w:val="0025120E"/>
    <w:rsid w:val="00254829"/>
    <w:rsid w:val="0025560D"/>
    <w:rsid w:val="00256618"/>
    <w:rsid w:val="00257ABC"/>
    <w:rsid w:val="00261933"/>
    <w:rsid w:val="00262D55"/>
    <w:rsid w:val="00270815"/>
    <w:rsid w:val="00277CBE"/>
    <w:rsid w:val="00277ED1"/>
    <w:rsid w:val="00283656"/>
    <w:rsid w:val="00290789"/>
    <w:rsid w:val="002918CF"/>
    <w:rsid w:val="002932DE"/>
    <w:rsid w:val="002942AC"/>
    <w:rsid w:val="00294458"/>
    <w:rsid w:val="00294B57"/>
    <w:rsid w:val="0029713C"/>
    <w:rsid w:val="002A0F11"/>
    <w:rsid w:val="002A0FDA"/>
    <w:rsid w:val="002A2BD0"/>
    <w:rsid w:val="002A2EF9"/>
    <w:rsid w:val="002A3DCC"/>
    <w:rsid w:val="002A5295"/>
    <w:rsid w:val="002A5BBF"/>
    <w:rsid w:val="002A6F97"/>
    <w:rsid w:val="002B06CF"/>
    <w:rsid w:val="002B64C6"/>
    <w:rsid w:val="002C01E9"/>
    <w:rsid w:val="002D1FF8"/>
    <w:rsid w:val="002D22F6"/>
    <w:rsid w:val="002D40B0"/>
    <w:rsid w:val="002D5319"/>
    <w:rsid w:val="002E5750"/>
    <w:rsid w:val="002E59E1"/>
    <w:rsid w:val="002F12BE"/>
    <w:rsid w:val="002F2A6D"/>
    <w:rsid w:val="00300436"/>
    <w:rsid w:val="0030109D"/>
    <w:rsid w:val="003069FF"/>
    <w:rsid w:val="00307094"/>
    <w:rsid w:val="00307539"/>
    <w:rsid w:val="0031052C"/>
    <w:rsid w:val="00314651"/>
    <w:rsid w:val="0031510B"/>
    <w:rsid w:val="00321286"/>
    <w:rsid w:val="00321E29"/>
    <w:rsid w:val="003220A4"/>
    <w:rsid w:val="00322360"/>
    <w:rsid w:val="00326A40"/>
    <w:rsid w:val="00327367"/>
    <w:rsid w:val="0033118E"/>
    <w:rsid w:val="00332B9E"/>
    <w:rsid w:val="00335574"/>
    <w:rsid w:val="00352883"/>
    <w:rsid w:val="00353F67"/>
    <w:rsid w:val="00362503"/>
    <w:rsid w:val="003663CC"/>
    <w:rsid w:val="003664B7"/>
    <w:rsid w:val="003706AC"/>
    <w:rsid w:val="00370B5A"/>
    <w:rsid w:val="003712B5"/>
    <w:rsid w:val="003723A3"/>
    <w:rsid w:val="003734BB"/>
    <w:rsid w:val="00373992"/>
    <w:rsid w:val="0038616E"/>
    <w:rsid w:val="003876FC"/>
    <w:rsid w:val="003879F2"/>
    <w:rsid w:val="0039184D"/>
    <w:rsid w:val="003933DA"/>
    <w:rsid w:val="00396449"/>
    <w:rsid w:val="00396EE4"/>
    <w:rsid w:val="003A1566"/>
    <w:rsid w:val="003A71DA"/>
    <w:rsid w:val="003B1B7C"/>
    <w:rsid w:val="003B2CF4"/>
    <w:rsid w:val="003C04B2"/>
    <w:rsid w:val="003C096A"/>
    <w:rsid w:val="003D15A2"/>
    <w:rsid w:val="003D35D8"/>
    <w:rsid w:val="003D434C"/>
    <w:rsid w:val="003D58D7"/>
    <w:rsid w:val="003E3ADD"/>
    <w:rsid w:val="003E4E2C"/>
    <w:rsid w:val="003F07CE"/>
    <w:rsid w:val="003F5CA4"/>
    <w:rsid w:val="00400E7E"/>
    <w:rsid w:val="00401516"/>
    <w:rsid w:val="0040183B"/>
    <w:rsid w:val="0040335B"/>
    <w:rsid w:val="00403760"/>
    <w:rsid w:val="0040577D"/>
    <w:rsid w:val="00407533"/>
    <w:rsid w:val="00407C82"/>
    <w:rsid w:val="0041075E"/>
    <w:rsid w:val="004136B6"/>
    <w:rsid w:val="00414D2C"/>
    <w:rsid w:val="00415721"/>
    <w:rsid w:val="004206A1"/>
    <w:rsid w:val="004257B1"/>
    <w:rsid w:val="004263C3"/>
    <w:rsid w:val="004318CB"/>
    <w:rsid w:val="00436918"/>
    <w:rsid w:val="0044105C"/>
    <w:rsid w:val="004419F4"/>
    <w:rsid w:val="0044415E"/>
    <w:rsid w:val="004547B8"/>
    <w:rsid w:val="00457AF1"/>
    <w:rsid w:val="00460C5F"/>
    <w:rsid w:val="00460D3C"/>
    <w:rsid w:val="004627C3"/>
    <w:rsid w:val="00467DAA"/>
    <w:rsid w:val="00467F94"/>
    <w:rsid w:val="00470DEF"/>
    <w:rsid w:val="00472BBF"/>
    <w:rsid w:val="00477914"/>
    <w:rsid w:val="00481629"/>
    <w:rsid w:val="00491AFB"/>
    <w:rsid w:val="00491F22"/>
    <w:rsid w:val="004933FA"/>
    <w:rsid w:val="00495582"/>
    <w:rsid w:val="004A091F"/>
    <w:rsid w:val="004A3E87"/>
    <w:rsid w:val="004A6C1F"/>
    <w:rsid w:val="004B17E2"/>
    <w:rsid w:val="004B559A"/>
    <w:rsid w:val="004B5F06"/>
    <w:rsid w:val="004B6D7B"/>
    <w:rsid w:val="004C0279"/>
    <w:rsid w:val="004C05D2"/>
    <w:rsid w:val="004C40AC"/>
    <w:rsid w:val="004D4792"/>
    <w:rsid w:val="004D565E"/>
    <w:rsid w:val="004E30E0"/>
    <w:rsid w:val="004E386C"/>
    <w:rsid w:val="004E77A8"/>
    <w:rsid w:val="004F0F39"/>
    <w:rsid w:val="004F480A"/>
    <w:rsid w:val="004F49AC"/>
    <w:rsid w:val="004F72F7"/>
    <w:rsid w:val="005071A1"/>
    <w:rsid w:val="00510757"/>
    <w:rsid w:val="00511F65"/>
    <w:rsid w:val="00513941"/>
    <w:rsid w:val="00513E7B"/>
    <w:rsid w:val="00514EF2"/>
    <w:rsid w:val="005250ED"/>
    <w:rsid w:val="005260BA"/>
    <w:rsid w:val="005265C1"/>
    <w:rsid w:val="00532718"/>
    <w:rsid w:val="00532989"/>
    <w:rsid w:val="00533F33"/>
    <w:rsid w:val="00535998"/>
    <w:rsid w:val="005364E6"/>
    <w:rsid w:val="00541780"/>
    <w:rsid w:val="00542D23"/>
    <w:rsid w:val="00547CE8"/>
    <w:rsid w:val="00550478"/>
    <w:rsid w:val="00550827"/>
    <w:rsid w:val="0055191A"/>
    <w:rsid w:val="00551CC7"/>
    <w:rsid w:val="00552A63"/>
    <w:rsid w:val="00553BFD"/>
    <w:rsid w:val="005568C1"/>
    <w:rsid w:val="005571E5"/>
    <w:rsid w:val="0056020B"/>
    <w:rsid w:val="00564B9A"/>
    <w:rsid w:val="00565D8D"/>
    <w:rsid w:val="00565EC3"/>
    <w:rsid w:val="0056606F"/>
    <w:rsid w:val="005660FB"/>
    <w:rsid w:val="00570D57"/>
    <w:rsid w:val="00572874"/>
    <w:rsid w:val="005744E0"/>
    <w:rsid w:val="00582A70"/>
    <w:rsid w:val="00586465"/>
    <w:rsid w:val="00591C37"/>
    <w:rsid w:val="005949F9"/>
    <w:rsid w:val="00594B54"/>
    <w:rsid w:val="00596022"/>
    <w:rsid w:val="005963AD"/>
    <w:rsid w:val="005A0277"/>
    <w:rsid w:val="005A0BAD"/>
    <w:rsid w:val="005A604E"/>
    <w:rsid w:val="005A6BE9"/>
    <w:rsid w:val="005B00CA"/>
    <w:rsid w:val="005B14F6"/>
    <w:rsid w:val="005B4C73"/>
    <w:rsid w:val="005B6925"/>
    <w:rsid w:val="005C425D"/>
    <w:rsid w:val="005D357B"/>
    <w:rsid w:val="005E0126"/>
    <w:rsid w:val="005E2BB6"/>
    <w:rsid w:val="005E3C3E"/>
    <w:rsid w:val="005E3E1A"/>
    <w:rsid w:val="005E6858"/>
    <w:rsid w:val="005E7029"/>
    <w:rsid w:val="005E73A3"/>
    <w:rsid w:val="005F1247"/>
    <w:rsid w:val="005F3069"/>
    <w:rsid w:val="005F70C0"/>
    <w:rsid w:val="006021F5"/>
    <w:rsid w:val="00607506"/>
    <w:rsid w:val="0060754B"/>
    <w:rsid w:val="00610F67"/>
    <w:rsid w:val="00611742"/>
    <w:rsid w:val="0061487B"/>
    <w:rsid w:val="00620E6E"/>
    <w:rsid w:val="00623198"/>
    <w:rsid w:val="00623D62"/>
    <w:rsid w:val="00624F95"/>
    <w:rsid w:val="006258A7"/>
    <w:rsid w:val="00626CB8"/>
    <w:rsid w:val="00632F02"/>
    <w:rsid w:val="00633F85"/>
    <w:rsid w:val="006347A6"/>
    <w:rsid w:val="00636BD4"/>
    <w:rsid w:val="00636E5C"/>
    <w:rsid w:val="00637594"/>
    <w:rsid w:val="0064305D"/>
    <w:rsid w:val="00644CF1"/>
    <w:rsid w:val="00647420"/>
    <w:rsid w:val="0065162D"/>
    <w:rsid w:val="00656067"/>
    <w:rsid w:val="006566FD"/>
    <w:rsid w:val="00661D3B"/>
    <w:rsid w:val="00663E35"/>
    <w:rsid w:val="006642A5"/>
    <w:rsid w:val="00665AA1"/>
    <w:rsid w:val="00673382"/>
    <w:rsid w:val="0067393C"/>
    <w:rsid w:val="0068240E"/>
    <w:rsid w:val="006828A3"/>
    <w:rsid w:val="006904BA"/>
    <w:rsid w:val="00691CDE"/>
    <w:rsid w:val="00693304"/>
    <w:rsid w:val="0069564B"/>
    <w:rsid w:val="00695943"/>
    <w:rsid w:val="00697541"/>
    <w:rsid w:val="006A442A"/>
    <w:rsid w:val="006C0966"/>
    <w:rsid w:val="006D3B17"/>
    <w:rsid w:val="006D3C53"/>
    <w:rsid w:val="006D4368"/>
    <w:rsid w:val="006D4D6F"/>
    <w:rsid w:val="006E1573"/>
    <w:rsid w:val="006E5000"/>
    <w:rsid w:val="006F72EF"/>
    <w:rsid w:val="007061D2"/>
    <w:rsid w:val="007111AC"/>
    <w:rsid w:val="00721F32"/>
    <w:rsid w:val="007229A2"/>
    <w:rsid w:val="0073088C"/>
    <w:rsid w:val="00731BBF"/>
    <w:rsid w:val="007321F9"/>
    <w:rsid w:val="00733455"/>
    <w:rsid w:val="00736C89"/>
    <w:rsid w:val="00737056"/>
    <w:rsid w:val="0073791D"/>
    <w:rsid w:val="00740963"/>
    <w:rsid w:val="00740D22"/>
    <w:rsid w:val="0074339F"/>
    <w:rsid w:val="00745B0C"/>
    <w:rsid w:val="007475EC"/>
    <w:rsid w:val="00751509"/>
    <w:rsid w:val="00752875"/>
    <w:rsid w:val="007558B2"/>
    <w:rsid w:val="00760AC4"/>
    <w:rsid w:val="00760CAD"/>
    <w:rsid w:val="007626C1"/>
    <w:rsid w:val="0076746A"/>
    <w:rsid w:val="00767906"/>
    <w:rsid w:val="00771257"/>
    <w:rsid w:val="0077280D"/>
    <w:rsid w:val="00773EBD"/>
    <w:rsid w:val="00775357"/>
    <w:rsid w:val="00775375"/>
    <w:rsid w:val="0077784E"/>
    <w:rsid w:val="00781454"/>
    <w:rsid w:val="007844CD"/>
    <w:rsid w:val="007855AC"/>
    <w:rsid w:val="00786AAE"/>
    <w:rsid w:val="00791D1C"/>
    <w:rsid w:val="00794A18"/>
    <w:rsid w:val="00794DB0"/>
    <w:rsid w:val="007960EA"/>
    <w:rsid w:val="00796C88"/>
    <w:rsid w:val="00796EB7"/>
    <w:rsid w:val="007975F5"/>
    <w:rsid w:val="007A3DA6"/>
    <w:rsid w:val="007A44C8"/>
    <w:rsid w:val="007B0B4A"/>
    <w:rsid w:val="007B2338"/>
    <w:rsid w:val="007C0AC8"/>
    <w:rsid w:val="007C1775"/>
    <w:rsid w:val="007C1783"/>
    <w:rsid w:val="007C42CC"/>
    <w:rsid w:val="007C5D7A"/>
    <w:rsid w:val="007C602D"/>
    <w:rsid w:val="007D03D3"/>
    <w:rsid w:val="007D1904"/>
    <w:rsid w:val="007D248D"/>
    <w:rsid w:val="007D26CC"/>
    <w:rsid w:val="007D32CB"/>
    <w:rsid w:val="007E06A1"/>
    <w:rsid w:val="007E1658"/>
    <w:rsid w:val="007E18BF"/>
    <w:rsid w:val="007E507B"/>
    <w:rsid w:val="007F130D"/>
    <w:rsid w:val="007F649B"/>
    <w:rsid w:val="007F753E"/>
    <w:rsid w:val="007F7CC0"/>
    <w:rsid w:val="008021C2"/>
    <w:rsid w:val="008039E0"/>
    <w:rsid w:val="00805C41"/>
    <w:rsid w:val="0080706C"/>
    <w:rsid w:val="0080728C"/>
    <w:rsid w:val="008113C2"/>
    <w:rsid w:val="00816E66"/>
    <w:rsid w:val="008222DA"/>
    <w:rsid w:val="00822D66"/>
    <w:rsid w:val="008237DC"/>
    <w:rsid w:val="00823B3C"/>
    <w:rsid w:val="00834384"/>
    <w:rsid w:val="008351ED"/>
    <w:rsid w:val="0083521D"/>
    <w:rsid w:val="00835A90"/>
    <w:rsid w:val="00836859"/>
    <w:rsid w:val="008417B7"/>
    <w:rsid w:val="0084206D"/>
    <w:rsid w:val="008433FC"/>
    <w:rsid w:val="00845192"/>
    <w:rsid w:val="00847833"/>
    <w:rsid w:val="00850A0C"/>
    <w:rsid w:val="00852486"/>
    <w:rsid w:val="00855896"/>
    <w:rsid w:val="0085669B"/>
    <w:rsid w:val="00856865"/>
    <w:rsid w:val="00862D07"/>
    <w:rsid w:val="00864CBC"/>
    <w:rsid w:val="0087531D"/>
    <w:rsid w:val="00877AE3"/>
    <w:rsid w:val="00882E88"/>
    <w:rsid w:val="00886CA5"/>
    <w:rsid w:val="00891048"/>
    <w:rsid w:val="00893342"/>
    <w:rsid w:val="00893ACA"/>
    <w:rsid w:val="008A0150"/>
    <w:rsid w:val="008A52A9"/>
    <w:rsid w:val="008A682C"/>
    <w:rsid w:val="008B1896"/>
    <w:rsid w:val="008B2865"/>
    <w:rsid w:val="008C035C"/>
    <w:rsid w:val="008C177B"/>
    <w:rsid w:val="008C30F7"/>
    <w:rsid w:val="008C3D50"/>
    <w:rsid w:val="008C4413"/>
    <w:rsid w:val="008D0729"/>
    <w:rsid w:val="008D346B"/>
    <w:rsid w:val="008D3780"/>
    <w:rsid w:val="008D4EA8"/>
    <w:rsid w:val="008E2B44"/>
    <w:rsid w:val="008E4BEE"/>
    <w:rsid w:val="008E5C9C"/>
    <w:rsid w:val="008F126F"/>
    <w:rsid w:val="008F5625"/>
    <w:rsid w:val="009059BC"/>
    <w:rsid w:val="00915D6B"/>
    <w:rsid w:val="009214E1"/>
    <w:rsid w:val="00925327"/>
    <w:rsid w:val="009258C8"/>
    <w:rsid w:val="0093007A"/>
    <w:rsid w:val="00935666"/>
    <w:rsid w:val="00944156"/>
    <w:rsid w:val="00945D2E"/>
    <w:rsid w:val="00945DA2"/>
    <w:rsid w:val="00946643"/>
    <w:rsid w:val="00952E51"/>
    <w:rsid w:val="0095597C"/>
    <w:rsid w:val="00956435"/>
    <w:rsid w:val="00956AE1"/>
    <w:rsid w:val="0096015F"/>
    <w:rsid w:val="009677A4"/>
    <w:rsid w:val="00970CE4"/>
    <w:rsid w:val="00970E87"/>
    <w:rsid w:val="00976647"/>
    <w:rsid w:val="009845EB"/>
    <w:rsid w:val="009846DF"/>
    <w:rsid w:val="0098517E"/>
    <w:rsid w:val="00986411"/>
    <w:rsid w:val="00986E95"/>
    <w:rsid w:val="00990B42"/>
    <w:rsid w:val="00992CCF"/>
    <w:rsid w:val="009949A4"/>
    <w:rsid w:val="00997520"/>
    <w:rsid w:val="009A1C4B"/>
    <w:rsid w:val="009A2333"/>
    <w:rsid w:val="009A3725"/>
    <w:rsid w:val="009A3BB6"/>
    <w:rsid w:val="009A4690"/>
    <w:rsid w:val="009A5E42"/>
    <w:rsid w:val="009A600D"/>
    <w:rsid w:val="009B4970"/>
    <w:rsid w:val="009B49C3"/>
    <w:rsid w:val="009B5A8E"/>
    <w:rsid w:val="009B66C8"/>
    <w:rsid w:val="009B75E6"/>
    <w:rsid w:val="009B7B42"/>
    <w:rsid w:val="009C15AB"/>
    <w:rsid w:val="009C160A"/>
    <w:rsid w:val="009C376D"/>
    <w:rsid w:val="009C4D6F"/>
    <w:rsid w:val="009C5326"/>
    <w:rsid w:val="009C536F"/>
    <w:rsid w:val="009C5943"/>
    <w:rsid w:val="009C69CC"/>
    <w:rsid w:val="009C6F50"/>
    <w:rsid w:val="009D21BE"/>
    <w:rsid w:val="009D3CE8"/>
    <w:rsid w:val="009D7F5D"/>
    <w:rsid w:val="009E06FC"/>
    <w:rsid w:val="009E2620"/>
    <w:rsid w:val="009E47A4"/>
    <w:rsid w:val="009E6A83"/>
    <w:rsid w:val="009E78C0"/>
    <w:rsid w:val="009F132F"/>
    <w:rsid w:val="009F260E"/>
    <w:rsid w:val="009F406E"/>
    <w:rsid w:val="009F416F"/>
    <w:rsid w:val="009F4EA7"/>
    <w:rsid w:val="00A00791"/>
    <w:rsid w:val="00A02BD4"/>
    <w:rsid w:val="00A03403"/>
    <w:rsid w:val="00A10EC5"/>
    <w:rsid w:val="00A132B2"/>
    <w:rsid w:val="00A14237"/>
    <w:rsid w:val="00A15653"/>
    <w:rsid w:val="00A15C56"/>
    <w:rsid w:val="00A21514"/>
    <w:rsid w:val="00A310FE"/>
    <w:rsid w:val="00A3205B"/>
    <w:rsid w:val="00A33A50"/>
    <w:rsid w:val="00A35E4B"/>
    <w:rsid w:val="00A378FC"/>
    <w:rsid w:val="00A41CC5"/>
    <w:rsid w:val="00A44676"/>
    <w:rsid w:val="00A44BE7"/>
    <w:rsid w:val="00A44D3C"/>
    <w:rsid w:val="00A47036"/>
    <w:rsid w:val="00A4754B"/>
    <w:rsid w:val="00A50076"/>
    <w:rsid w:val="00A513CD"/>
    <w:rsid w:val="00A557EA"/>
    <w:rsid w:val="00A55974"/>
    <w:rsid w:val="00A576D9"/>
    <w:rsid w:val="00A60ED7"/>
    <w:rsid w:val="00A62205"/>
    <w:rsid w:val="00A65991"/>
    <w:rsid w:val="00A71144"/>
    <w:rsid w:val="00A7119B"/>
    <w:rsid w:val="00A73368"/>
    <w:rsid w:val="00A75C13"/>
    <w:rsid w:val="00A80B49"/>
    <w:rsid w:val="00A84D37"/>
    <w:rsid w:val="00A8533C"/>
    <w:rsid w:val="00A876A5"/>
    <w:rsid w:val="00A901FA"/>
    <w:rsid w:val="00A930D6"/>
    <w:rsid w:val="00A95716"/>
    <w:rsid w:val="00A96052"/>
    <w:rsid w:val="00A96719"/>
    <w:rsid w:val="00AA4956"/>
    <w:rsid w:val="00AA67F5"/>
    <w:rsid w:val="00AA6AA5"/>
    <w:rsid w:val="00AB021D"/>
    <w:rsid w:val="00AB1504"/>
    <w:rsid w:val="00AB34A0"/>
    <w:rsid w:val="00AB4C4A"/>
    <w:rsid w:val="00AB5CBF"/>
    <w:rsid w:val="00AC1070"/>
    <w:rsid w:val="00AC77B8"/>
    <w:rsid w:val="00AD0573"/>
    <w:rsid w:val="00AD2D08"/>
    <w:rsid w:val="00AD3903"/>
    <w:rsid w:val="00AD60A8"/>
    <w:rsid w:val="00AE2CD0"/>
    <w:rsid w:val="00AE4537"/>
    <w:rsid w:val="00AF1577"/>
    <w:rsid w:val="00AF3462"/>
    <w:rsid w:val="00B003C1"/>
    <w:rsid w:val="00B00A7F"/>
    <w:rsid w:val="00B0760D"/>
    <w:rsid w:val="00B07C45"/>
    <w:rsid w:val="00B110A6"/>
    <w:rsid w:val="00B113EC"/>
    <w:rsid w:val="00B119A5"/>
    <w:rsid w:val="00B11D89"/>
    <w:rsid w:val="00B140C6"/>
    <w:rsid w:val="00B1745B"/>
    <w:rsid w:val="00B179B1"/>
    <w:rsid w:val="00B2143F"/>
    <w:rsid w:val="00B22709"/>
    <w:rsid w:val="00B22719"/>
    <w:rsid w:val="00B22DF9"/>
    <w:rsid w:val="00B24C6A"/>
    <w:rsid w:val="00B3183A"/>
    <w:rsid w:val="00B3282E"/>
    <w:rsid w:val="00B3422E"/>
    <w:rsid w:val="00B350A2"/>
    <w:rsid w:val="00B35A5E"/>
    <w:rsid w:val="00B366E7"/>
    <w:rsid w:val="00B3727E"/>
    <w:rsid w:val="00B4164E"/>
    <w:rsid w:val="00B43493"/>
    <w:rsid w:val="00B451B4"/>
    <w:rsid w:val="00B4521D"/>
    <w:rsid w:val="00B45528"/>
    <w:rsid w:val="00B50656"/>
    <w:rsid w:val="00B50802"/>
    <w:rsid w:val="00B52207"/>
    <w:rsid w:val="00B5566E"/>
    <w:rsid w:val="00B55AFA"/>
    <w:rsid w:val="00B56B0C"/>
    <w:rsid w:val="00B63204"/>
    <w:rsid w:val="00B65E7A"/>
    <w:rsid w:val="00B66F4B"/>
    <w:rsid w:val="00B70F09"/>
    <w:rsid w:val="00B75724"/>
    <w:rsid w:val="00B75E1E"/>
    <w:rsid w:val="00B76095"/>
    <w:rsid w:val="00B77113"/>
    <w:rsid w:val="00B806D4"/>
    <w:rsid w:val="00B84E60"/>
    <w:rsid w:val="00B851A5"/>
    <w:rsid w:val="00B907A2"/>
    <w:rsid w:val="00B91E8B"/>
    <w:rsid w:val="00B94D06"/>
    <w:rsid w:val="00B9725A"/>
    <w:rsid w:val="00B97AA0"/>
    <w:rsid w:val="00BA10DE"/>
    <w:rsid w:val="00BA14C8"/>
    <w:rsid w:val="00BA186E"/>
    <w:rsid w:val="00BA255D"/>
    <w:rsid w:val="00BA5FA2"/>
    <w:rsid w:val="00BA6683"/>
    <w:rsid w:val="00BB1007"/>
    <w:rsid w:val="00BB2672"/>
    <w:rsid w:val="00BB3AA1"/>
    <w:rsid w:val="00BB5343"/>
    <w:rsid w:val="00BC00DF"/>
    <w:rsid w:val="00BC1D82"/>
    <w:rsid w:val="00BC3417"/>
    <w:rsid w:val="00BC3646"/>
    <w:rsid w:val="00BC6837"/>
    <w:rsid w:val="00BC73E2"/>
    <w:rsid w:val="00BC7AE9"/>
    <w:rsid w:val="00BC7D18"/>
    <w:rsid w:val="00BD005C"/>
    <w:rsid w:val="00BD7B42"/>
    <w:rsid w:val="00BE3BFE"/>
    <w:rsid w:val="00BE3F02"/>
    <w:rsid w:val="00BE45F6"/>
    <w:rsid w:val="00BE6732"/>
    <w:rsid w:val="00BF14CB"/>
    <w:rsid w:val="00BF2651"/>
    <w:rsid w:val="00BF523D"/>
    <w:rsid w:val="00BF6EC9"/>
    <w:rsid w:val="00C00A3F"/>
    <w:rsid w:val="00C01154"/>
    <w:rsid w:val="00C02263"/>
    <w:rsid w:val="00C02C66"/>
    <w:rsid w:val="00C039C7"/>
    <w:rsid w:val="00C10054"/>
    <w:rsid w:val="00C112FF"/>
    <w:rsid w:val="00C160D4"/>
    <w:rsid w:val="00C17630"/>
    <w:rsid w:val="00C22096"/>
    <w:rsid w:val="00C22826"/>
    <w:rsid w:val="00C22AFB"/>
    <w:rsid w:val="00C23F9C"/>
    <w:rsid w:val="00C2643D"/>
    <w:rsid w:val="00C33008"/>
    <w:rsid w:val="00C350A4"/>
    <w:rsid w:val="00C3712B"/>
    <w:rsid w:val="00C37175"/>
    <w:rsid w:val="00C45146"/>
    <w:rsid w:val="00C45850"/>
    <w:rsid w:val="00C45BF8"/>
    <w:rsid w:val="00C51034"/>
    <w:rsid w:val="00C53C94"/>
    <w:rsid w:val="00C53FA1"/>
    <w:rsid w:val="00C576F6"/>
    <w:rsid w:val="00C607A2"/>
    <w:rsid w:val="00C61731"/>
    <w:rsid w:val="00C667D4"/>
    <w:rsid w:val="00C6788D"/>
    <w:rsid w:val="00C67B93"/>
    <w:rsid w:val="00C704B6"/>
    <w:rsid w:val="00C7131C"/>
    <w:rsid w:val="00C74F04"/>
    <w:rsid w:val="00C77135"/>
    <w:rsid w:val="00C80B37"/>
    <w:rsid w:val="00C81D1E"/>
    <w:rsid w:val="00C83413"/>
    <w:rsid w:val="00C865D9"/>
    <w:rsid w:val="00C90EF8"/>
    <w:rsid w:val="00C94F6A"/>
    <w:rsid w:val="00C966E6"/>
    <w:rsid w:val="00C96CDA"/>
    <w:rsid w:val="00C96FF4"/>
    <w:rsid w:val="00CA44C7"/>
    <w:rsid w:val="00CA4D95"/>
    <w:rsid w:val="00CA746E"/>
    <w:rsid w:val="00CA775F"/>
    <w:rsid w:val="00CB00E0"/>
    <w:rsid w:val="00CB0608"/>
    <w:rsid w:val="00CB0989"/>
    <w:rsid w:val="00CB1160"/>
    <w:rsid w:val="00CB26B2"/>
    <w:rsid w:val="00CB6DAD"/>
    <w:rsid w:val="00CC120F"/>
    <w:rsid w:val="00CC16E4"/>
    <w:rsid w:val="00CC4768"/>
    <w:rsid w:val="00CC57E9"/>
    <w:rsid w:val="00CD1436"/>
    <w:rsid w:val="00CE0338"/>
    <w:rsid w:val="00CE179C"/>
    <w:rsid w:val="00CE2EDB"/>
    <w:rsid w:val="00CE30B3"/>
    <w:rsid w:val="00CE7550"/>
    <w:rsid w:val="00CF1038"/>
    <w:rsid w:val="00CF30DF"/>
    <w:rsid w:val="00CF6724"/>
    <w:rsid w:val="00CF7371"/>
    <w:rsid w:val="00D00114"/>
    <w:rsid w:val="00D01648"/>
    <w:rsid w:val="00D024F4"/>
    <w:rsid w:val="00D029A5"/>
    <w:rsid w:val="00D07A9C"/>
    <w:rsid w:val="00D100C6"/>
    <w:rsid w:val="00D106D3"/>
    <w:rsid w:val="00D10D4A"/>
    <w:rsid w:val="00D1104D"/>
    <w:rsid w:val="00D13F98"/>
    <w:rsid w:val="00D15A2E"/>
    <w:rsid w:val="00D15A96"/>
    <w:rsid w:val="00D212B2"/>
    <w:rsid w:val="00D22C3F"/>
    <w:rsid w:val="00D23992"/>
    <w:rsid w:val="00D25AB1"/>
    <w:rsid w:val="00D26059"/>
    <w:rsid w:val="00D30BEF"/>
    <w:rsid w:val="00D31B66"/>
    <w:rsid w:val="00D35DF9"/>
    <w:rsid w:val="00D36C0F"/>
    <w:rsid w:val="00D37116"/>
    <w:rsid w:val="00D4679C"/>
    <w:rsid w:val="00D46E99"/>
    <w:rsid w:val="00D50874"/>
    <w:rsid w:val="00D546DD"/>
    <w:rsid w:val="00D54954"/>
    <w:rsid w:val="00D615C7"/>
    <w:rsid w:val="00D640BB"/>
    <w:rsid w:val="00D643CC"/>
    <w:rsid w:val="00D754FF"/>
    <w:rsid w:val="00D776A6"/>
    <w:rsid w:val="00D83057"/>
    <w:rsid w:val="00D8474D"/>
    <w:rsid w:val="00D874CF"/>
    <w:rsid w:val="00D87672"/>
    <w:rsid w:val="00D87EB4"/>
    <w:rsid w:val="00D920A2"/>
    <w:rsid w:val="00D94E57"/>
    <w:rsid w:val="00D9623F"/>
    <w:rsid w:val="00D96476"/>
    <w:rsid w:val="00DA2448"/>
    <w:rsid w:val="00DA26D5"/>
    <w:rsid w:val="00DB01F3"/>
    <w:rsid w:val="00DB281F"/>
    <w:rsid w:val="00DB55D3"/>
    <w:rsid w:val="00DB7D52"/>
    <w:rsid w:val="00DC0FF2"/>
    <w:rsid w:val="00DD2679"/>
    <w:rsid w:val="00DD3732"/>
    <w:rsid w:val="00DE4C0A"/>
    <w:rsid w:val="00DE7FCC"/>
    <w:rsid w:val="00DF1254"/>
    <w:rsid w:val="00DF2A49"/>
    <w:rsid w:val="00DF742B"/>
    <w:rsid w:val="00E00C88"/>
    <w:rsid w:val="00E07DD6"/>
    <w:rsid w:val="00E14339"/>
    <w:rsid w:val="00E14A37"/>
    <w:rsid w:val="00E20133"/>
    <w:rsid w:val="00E208E1"/>
    <w:rsid w:val="00E23798"/>
    <w:rsid w:val="00E2533D"/>
    <w:rsid w:val="00E2780C"/>
    <w:rsid w:val="00E27BC6"/>
    <w:rsid w:val="00E309F5"/>
    <w:rsid w:val="00E32E48"/>
    <w:rsid w:val="00E33C0B"/>
    <w:rsid w:val="00E3706C"/>
    <w:rsid w:val="00E41C29"/>
    <w:rsid w:val="00E42875"/>
    <w:rsid w:val="00E436F2"/>
    <w:rsid w:val="00E53F4D"/>
    <w:rsid w:val="00E540B7"/>
    <w:rsid w:val="00E5459A"/>
    <w:rsid w:val="00E548FA"/>
    <w:rsid w:val="00E54B4C"/>
    <w:rsid w:val="00E55458"/>
    <w:rsid w:val="00E6140C"/>
    <w:rsid w:val="00E619C3"/>
    <w:rsid w:val="00E62934"/>
    <w:rsid w:val="00E66428"/>
    <w:rsid w:val="00E7240E"/>
    <w:rsid w:val="00E7253F"/>
    <w:rsid w:val="00E72643"/>
    <w:rsid w:val="00E80644"/>
    <w:rsid w:val="00E80D69"/>
    <w:rsid w:val="00E80F6D"/>
    <w:rsid w:val="00E83165"/>
    <w:rsid w:val="00E83609"/>
    <w:rsid w:val="00E83E7F"/>
    <w:rsid w:val="00E902E7"/>
    <w:rsid w:val="00E90E86"/>
    <w:rsid w:val="00E94BAE"/>
    <w:rsid w:val="00E94E3D"/>
    <w:rsid w:val="00EA4356"/>
    <w:rsid w:val="00EA4ACF"/>
    <w:rsid w:val="00EA60D0"/>
    <w:rsid w:val="00EA77B4"/>
    <w:rsid w:val="00EB1986"/>
    <w:rsid w:val="00EB23A7"/>
    <w:rsid w:val="00EB3695"/>
    <w:rsid w:val="00EB37B2"/>
    <w:rsid w:val="00EB3C20"/>
    <w:rsid w:val="00EB5DA4"/>
    <w:rsid w:val="00EB68BD"/>
    <w:rsid w:val="00EC228E"/>
    <w:rsid w:val="00EC750F"/>
    <w:rsid w:val="00ED0DF2"/>
    <w:rsid w:val="00ED29FF"/>
    <w:rsid w:val="00ED2B75"/>
    <w:rsid w:val="00ED56F9"/>
    <w:rsid w:val="00ED5CB1"/>
    <w:rsid w:val="00ED7426"/>
    <w:rsid w:val="00EE412F"/>
    <w:rsid w:val="00EE716D"/>
    <w:rsid w:val="00EF1CF9"/>
    <w:rsid w:val="00EF5326"/>
    <w:rsid w:val="00F02162"/>
    <w:rsid w:val="00F0462C"/>
    <w:rsid w:val="00F04D49"/>
    <w:rsid w:val="00F062AE"/>
    <w:rsid w:val="00F06C72"/>
    <w:rsid w:val="00F07B64"/>
    <w:rsid w:val="00F1022D"/>
    <w:rsid w:val="00F13CB2"/>
    <w:rsid w:val="00F144DD"/>
    <w:rsid w:val="00F157C9"/>
    <w:rsid w:val="00F15952"/>
    <w:rsid w:val="00F17138"/>
    <w:rsid w:val="00F17596"/>
    <w:rsid w:val="00F21FF3"/>
    <w:rsid w:val="00F22E1C"/>
    <w:rsid w:val="00F25001"/>
    <w:rsid w:val="00F269A3"/>
    <w:rsid w:val="00F35EBD"/>
    <w:rsid w:val="00F423BB"/>
    <w:rsid w:val="00F439E3"/>
    <w:rsid w:val="00F452BF"/>
    <w:rsid w:val="00F47154"/>
    <w:rsid w:val="00F51242"/>
    <w:rsid w:val="00F52DDC"/>
    <w:rsid w:val="00F53E35"/>
    <w:rsid w:val="00F53F3C"/>
    <w:rsid w:val="00F542BB"/>
    <w:rsid w:val="00F550AA"/>
    <w:rsid w:val="00F57615"/>
    <w:rsid w:val="00F57ABC"/>
    <w:rsid w:val="00F603E9"/>
    <w:rsid w:val="00F60930"/>
    <w:rsid w:val="00F628CF"/>
    <w:rsid w:val="00F659F8"/>
    <w:rsid w:val="00F72A5F"/>
    <w:rsid w:val="00F81218"/>
    <w:rsid w:val="00F85D58"/>
    <w:rsid w:val="00F86FD0"/>
    <w:rsid w:val="00F876A1"/>
    <w:rsid w:val="00F90162"/>
    <w:rsid w:val="00F94B4B"/>
    <w:rsid w:val="00F957DE"/>
    <w:rsid w:val="00F9755F"/>
    <w:rsid w:val="00FA1321"/>
    <w:rsid w:val="00FA35DF"/>
    <w:rsid w:val="00FA5EA1"/>
    <w:rsid w:val="00FA68AC"/>
    <w:rsid w:val="00FA7D1B"/>
    <w:rsid w:val="00FB0574"/>
    <w:rsid w:val="00FB1CEC"/>
    <w:rsid w:val="00FB3B35"/>
    <w:rsid w:val="00FD03FE"/>
    <w:rsid w:val="00FD34AC"/>
    <w:rsid w:val="00FD5067"/>
    <w:rsid w:val="00FD6402"/>
    <w:rsid w:val="00FE0835"/>
    <w:rsid w:val="00FE1A63"/>
    <w:rsid w:val="00FE1DCF"/>
    <w:rsid w:val="00FE4F3B"/>
    <w:rsid w:val="00FE6389"/>
    <w:rsid w:val="00FF2DBD"/>
    <w:rsid w:val="00FF3586"/>
    <w:rsid w:val="00FF43A7"/>
    <w:rsid w:val="00FF653D"/>
    <w:rsid w:val="00FF6B72"/>
    <w:rsid w:val="02176491"/>
    <w:rsid w:val="060D57BD"/>
    <w:rsid w:val="06CF0B37"/>
    <w:rsid w:val="08F300CC"/>
    <w:rsid w:val="0AB1158E"/>
    <w:rsid w:val="0B19028B"/>
    <w:rsid w:val="0D047654"/>
    <w:rsid w:val="11676D8E"/>
    <w:rsid w:val="13F60738"/>
    <w:rsid w:val="21C15225"/>
    <w:rsid w:val="27511125"/>
    <w:rsid w:val="29F50989"/>
    <w:rsid w:val="317B1DBF"/>
    <w:rsid w:val="34853694"/>
    <w:rsid w:val="37AD1EC7"/>
    <w:rsid w:val="38C5370F"/>
    <w:rsid w:val="403E6C5E"/>
    <w:rsid w:val="407B35C7"/>
    <w:rsid w:val="42247D62"/>
    <w:rsid w:val="436E44C7"/>
    <w:rsid w:val="46835E89"/>
    <w:rsid w:val="4A9D7A29"/>
    <w:rsid w:val="502D7573"/>
    <w:rsid w:val="51475EAF"/>
    <w:rsid w:val="51B748EB"/>
    <w:rsid w:val="520714D3"/>
    <w:rsid w:val="52137701"/>
    <w:rsid w:val="525C10C0"/>
    <w:rsid w:val="58412ED9"/>
    <w:rsid w:val="5C3E4E5B"/>
    <w:rsid w:val="63AD5698"/>
    <w:rsid w:val="646E524A"/>
    <w:rsid w:val="64EF49BB"/>
    <w:rsid w:val="6671766D"/>
    <w:rsid w:val="685632A9"/>
    <w:rsid w:val="68853107"/>
    <w:rsid w:val="695C3CC9"/>
    <w:rsid w:val="6C2F759D"/>
    <w:rsid w:val="6C6B4DE1"/>
    <w:rsid w:val="7E053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页脚 Char"/>
    <w:basedOn w:val="6"/>
    <w:link w:val="3"/>
    <w:locked/>
    <w:uiPriority w:val="99"/>
    <w:rPr>
      <w:rFonts w:cs="Times New Roman"/>
      <w:sz w:val="18"/>
      <w:szCs w:val="18"/>
    </w:rPr>
  </w:style>
  <w:style w:type="character" w:customStyle="1" w:styleId="9">
    <w:name w:val="页眉 Char"/>
    <w:basedOn w:val="6"/>
    <w:link w:val="4"/>
    <w:semiHidden/>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qFormat/>
    <w:locked/>
    <w:uiPriority w:val="99"/>
    <w:rPr>
      <w:rFonts w:eastAsia="仿宋_GB2312"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57D09-3C30-4763-9263-18FEA19F330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1061</Words>
  <Characters>6049</Characters>
  <Lines>50</Lines>
  <Paragraphs>14</Paragraphs>
  <TotalTime>597</TotalTime>
  <ScaleCrop>false</ScaleCrop>
  <LinksUpToDate>false</LinksUpToDate>
  <CharactersWithSpaces>7096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2020-12-28T06:33:00Z</dcterms:created>
  <dc:creator>zjc</dc:creator>
  <cp:lastModifiedBy>Administrator</cp:lastModifiedBy>
  <cp:lastPrinted>2020-12-31T01:59:00Z</cp:lastPrinted>
  <dcterms:modified xsi:type="dcterms:W3CDTF">2021-03-10T06:06:16Z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