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pacing w:line="720" w:lineRule="exact"/>
        <w:jc w:val="center"/>
        <w:rPr>
          <w:rFonts w:ascii="Times New Roman" w:hAnsi="Times New Roman" w:eastAsia="黑体" w:cs="Times New Roman"/>
          <w:spacing w:val="60"/>
          <w:sz w:val="40"/>
          <w:szCs w:val="40"/>
        </w:rPr>
      </w:pPr>
    </w:p>
    <w:p>
      <w:pPr>
        <w:overflowPunct w:val="0"/>
        <w:autoSpaceDE w:val="0"/>
        <w:autoSpaceDN w:val="0"/>
        <w:spacing w:line="720" w:lineRule="exact"/>
        <w:jc w:val="center"/>
        <w:rPr>
          <w:rFonts w:ascii="Times New Roman" w:hAnsi="Times New Roman" w:eastAsia="黑体" w:cs="Times New Roman"/>
          <w:spacing w:val="60"/>
          <w:sz w:val="40"/>
          <w:szCs w:val="40"/>
        </w:rPr>
      </w:pPr>
    </w:p>
    <w:p>
      <w:pPr>
        <w:overflowPunct w:val="0"/>
        <w:autoSpaceDE w:val="0"/>
        <w:autoSpaceDN w:val="0"/>
        <w:spacing w:line="720" w:lineRule="exact"/>
        <w:jc w:val="center"/>
        <w:rPr>
          <w:rFonts w:ascii="Times New Roman" w:hAnsi="Times New Roman" w:eastAsia="黑体" w:cs="Times New Roman"/>
          <w:sz w:val="56"/>
          <w:szCs w:val="70"/>
        </w:rPr>
      </w:pPr>
    </w:p>
    <w:p>
      <w:pPr>
        <w:overflowPunct w:val="0"/>
        <w:autoSpaceDE w:val="0"/>
        <w:autoSpaceDN w:val="0"/>
        <w:adjustRightInd w:val="0"/>
        <w:snapToGrid w:val="0"/>
        <w:spacing w:line="360" w:lineRule="auto"/>
        <w:jc w:val="center"/>
        <w:rPr>
          <w:rFonts w:ascii="Times New Roman" w:hAnsi="Times New Roman" w:eastAsia="黑体" w:cs="Times New Roman"/>
          <w:sz w:val="64"/>
          <w:szCs w:val="64"/>
        </w:rPr>
      </w:pPr>
      <w:r>
        <w:rPr>
          <w:rFonts w:ascii="Times New Roman" w:hAnsi="Times New Roman" w:eastAsia="黑体" w:cs="Times New Roman"/>
          <w:sz w:val="64"/>
          <w:szCs w:val="64"/>
        </w:rPr>
        <w:t>庄河市养殖水域滩涂规划</w:t>
      </w:r>
    </w:p>
    <w:p>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（2018-2030年）</w:t>
      </w: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56"/>
          <w:szCs w:val="56"/>
        </w:rPr>
      </w:pPr>
      <w:r>
        <w:rPr>
          <w:rFonts w:ascii="Times New Roman" w:hAnsi="Times New Roman" w:eastAsia="宋体" w:cs="Times New Roman"/>
          <w:b/>
          <w:sz w:val="56"/>
          <w:szCs w:val="56"/>
        </w:rPr>
        <w:t>文本</w:t>
      </w:r>
    </w:p>
    <w:p>
      <w:pPr>
        <w:jc w:val="center"/>
        <w:rPr>
          <w:rFonts w:ascii="Times New Roman" w:hAnsi="Times New Roman" w:eastAsia="宋体" w:cs="Times New Roman"/>
          <w:b/>
          <w:sz w:val="44"/>
          <w:szCs w:val="44"/>
        </w:rPr>
      </w:pPr>
    </w:p>
    <w:p>
      <w:pPr>
        <w:snapToGrid w:val="0"/>
        <w:spacing w:line="480" w:lineRule="auto"/>
        <w:jc w:val="center"/>
        <w:rPr>
          <w:rFonts w:ascii="Times New Roman" w:hAnsi="Times New Roman" w:eastAsia="黑体" w:cs="Times New Roman"/>
          <w:b/>
          <w:sz w:val="36"/>
          <w:szCs w:val="36"/>
        </w:rPr>
      </w:pPr>
    </w:p>
    <w:p>
      <w:pPr>
        <w:snapToGrid w:val="0"/>
        <w:spacing w:line="480" w:lineRule="auto"/>
        <w:jc w:val="center"/>
        <w:rPr>
          <w:rFonts w:ascii="Times New Roman" w:hAnsi="Times New Roman" w:eastAsia="黑体" w:cs="Times New Roman"/>
          <w:b/>
          <w:sz w:val="36"/>
          <w:szCs w:val="36"/>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cs="Times New Roman"/>
          <w:b/>
          <w:sz w:val="40"/>
          <w:szCs w:val="32"/>
        </w:rPr>
      </w:pPr>
    </w:p>
    <w:p>
      <w:pPr>
        <w:adjustRightInd w:val="0"/>
        <w:snapToGrid w:val="0"/>
        <w:spacing w:line="480" w:lineRule="auto"/>
        <w:jc w:val="center"/>
        <w:rPr>
          <w:rFonts w:ascii="Times New Roman" w:hAnsi="Times New Roman" w:cs="Times New Roman"/>
          <w:b/>
          <w:sz w:val="40"/>
          <w:szCs w:val="32"/>
        </w:rPr>
      </w:pPr>
      <w:r>
        <w:rPr>
          <w:rFonts w:ascii="Times New Roman" w:hAnsi="Times New Roman" w:cs="Times New Roman"/>
          <w:b/>
          <w:sz w:val="40"/>
          <w:szCs w:val="32"/>
        </w:rPr>
        <w:t>庄河市人民政府</w:t>
      </w:r>
    </w:p>
    <w:p>
      <w:pPr>
        <w:adjustRightInd w:val="0"/>
        <w:snapToGrid w:val="0"/>
        <w:spacing w:line="480" w:lineRule="auto"/>
        <w:jc w:val="center"/>
        <w:rPr>
          <w:rFonts w:ascii="Times New Roman" w:hAnsi="Times New Roman" w:cs="Times New Roman"/>
          <w:b/>
          <w:sz w:val="40"/>
          <w:szCs w:val="32"/>
        </w:rPr>
      </w:pPr>
      <w:r>
        <w:rPr>
          <w:rFonts w:ascii="Times New Roman" w:hAnsi="Times New Roman" w:cs="Times New Roman"/>
          <w:b/>
          <w:sz w:val="40"/>
          <w:szCs w:val="32"/>
        </w:rPr>
        <w:t>二〇一八年十一月</w:t>
      </w:r>
    </w:p>
    <w:p>
      <w:pPr>
        <w:jc w:val="center"/>
        <w:rPr>
          <w:rFonts w:ascii="Times New Roman" w:hAnsi="Times New Roman" w:eastAsia="黑体" w:cs="Times New Roman"/>
          <w:sz w:val="32"/>
          <w:szCs w:val="32"/>
        </w:rPr>
      </w:pPr>
    </w:p>
    <w:p>
      <w:pPr>
        <w:jc w:val="center"/>
        <w:rPr>
          <w:rFonts w:ascii="Times New Roman" w:hAnsi="Times New Roman" w:cs="Times New Roman"/>
          <w:b/>
          <w:sz w:val="36"/>
          <w:lang w:val="zh-CN"/>
        </w:rPr>
      </w:pPr>
    </w:p>
    <w:p>
      <w:pPr>
        <w:jc w:val="center"/>
        <w:rPr>
          <w:rFonts w:ascii="Times New Roman" w:hAnsi="Times New Roman" w:cs="Times New Roman"/>
          <w:b/>
          <w:sz w:val="36"/>
          <w:lang w:val="zh-CN"/>
        </w:rPr>
      </w:pPr>
      <w:r>
        <w:rPr>
          <w:rFonts w:ascii="Times New Roman" w:hAnsi="Times New Roman" w:cs="Times New Roman"/>
          <w:b/>
          <w:sz w:val="36"/>
          <w:lang w:val="zh-CN"/>
        </w:rPr>
        <w:t>目  录</w:t>
      </w:r>
    </w:p>
    <w:p>
      <w:pPr>
        <w:pStyle w:val="11"/>
        <w:tabs>
          <w:tab w:val="right" w:leader="dot" w:pos="9402"/>
        </w:tabs>
        <w:spacing w:line="360" w:lineRule="auto"/>
        <w:rPr>
          <w:rFonts w:ascii="Times New Roman" w:hAnsi="Times New Roman" w:cs="Times New Roman"/>
          <w:szCs w:val="24"/>
        </w:rPr>
      </w:pPr>
      <w:r>
        <w:rPr>
          <w:rFonts w:ascii="Times New Roman" w:hAnsi="Times New Roman" w:cs="Times New Roman"/>
          <w:spacing w:val="60"/>
          <w:szCs w:val="24"/>
        </w:rPr>
        <w:fldChar w:fldCharType="begin"/>
      </w:r>
      <w:r>
        <w:rPr>
          <w:rFonts w:ascii="Times New Roman" w:hAnsi="Times New Roman" w:cs="Times New Roman"/>
          <w:spacing w:val="60"/>
          <w:szCs w:val="24"/>
        </w:rPr>
        <w:instrText xml:space="preserve"> TOC \o "1-2" \h \z \u </w:instrText>
      </w:r>
      <w:r>
        <w:rPr>
          <w:rFonts w:ascii="Times New Roman" w:hAnsi="Times New Roman" w:cs="Times New Roman"/>
          <w:spacing w:val="60"/>
          <w:szCs w:val="24"/>
        </w:rPr>
        <w:fldChar w:fldCharType="separate"/>
      </w:r>
      <w:r>
        <w:fldChar w:fldCharType="begin"/>
      </w:r>
      <w:r>
        <w:instrText xml:space="preserve"> HYPERLINK \l "_Toc529634083" </w:instrText>
      </w:r>
      <w:r>
        <w:fldChar w:fldCharType="separate"/>
      </w:r>
      <w:r>
        <w:rPr>
          <w:rStyle w:val="16"/>
          <w:rFonts w:ascii="Times New Roman" w:hAnsi="Times New Roman" w:cs="Times New Roman"/>
          <w:szCs w:val="24"/>
        </w:rPr>
        <w:t>第一章  总  则</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_Toc529634083 \h </w:instrText>
      </w:r>
      <w:r>
        <w:rPr>
          <w:rFonts w:ascii="Times New Roman" w:hAnsi="Times New Roman" w:cs="Times New Roman"/>
          <w:szCs w:val="24"/>
        </w:rPr>
        <w:fldChar w:fldCharType="separate"/>
      </w:r>
      <w:r>
        <w:rPr>
          <w:rFonts w:ascii="Times New Roman" w:hAnsi="Times New Roman" w:cs="Times New Roman"/>
          <w:szCs w:val="24"/>
        </w:rPr>
        <w:t>1</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"_Toc529634084" </w:instrText>
      </w:r>
      <w:r>
        <w:fldChar w:fldCharType="separate"/>
      </w:r>
      <w:r>
        <w:rPr>
          <w:rStyle w:val="16"/>
          <w:rFonts w:ascii="Times New Roman" w:hAnsi="Times New Roman" w:cs="Times New Roman"/>
          <w:szCs w:val="24"/>
        </w:rPr>
        <w:t>第一节  前  言</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_Toc529634084 \h </w:instrText>
      </w:r>
      <w:r>
        <w:rPr>
          <w:rFonts w:ascii="Times New Roman" w:hAnsi="Times New Roman" w:cs="Times New Roman"/>
          <w:szCs w:val="24"/>
        </w:rPr>
        <w:fldChar w:fldCharType="separate"/>
      </w:r>
      <w:r>
        <w:rPr>
          <w:rFonts w:ascii="Times New Roman" w:hAnsi="Times New Roman" w:cs="Times New Roman"/>
          <w:szCs w:val="24"/>
        </w:rPr>
        <w:t>1</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"_Toc529634085" </w:instrText>
      </w:r>
      <w:r>
        <w:fldChar w:fldCharType="separate"/>
      </w:r>
      <w:r>
        <w:rPr>
          <w:rStyle w:val="16"/>
          <w:rFonts w:ascii="Times New Roman" w:hAnsi="Times New Roman" w:cs="Times New Roman"/>
          <w:szCs w:val="24"/>
        </w:rPr>
        <w:t>第二节  编制依据</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_Toc529634085 \h </w:instrText>
      </w:r>
      <w:r>
        <w:rPr>
          <w:rFonts w:ascii="Times New Roman" w:hAnsi="Times New Roman" w:cs="Times New Roman"/>
          <w:szCs w:val="24"/>
        </w:rPr>
        <w:fldChar w:fldCharType="separate"/>
      </w:r>
      <w:r>
        <w:rPr>
          <w:rFonts w:ascii="Times New Roman" w:hAnsi="Times New Roman" w:cs="Times New Roman"/>
          <w:szCs w:val="24"/>
        </w:rPr>
        <w:t>2</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"_Toc529634086" </w:instrText>
      </w:r>
      <w:r>
        <w:fldChar w:fldCharType="separate"/>
      </w:r>
      <w:r>
        <w:rPr>
          <w:rStyle w:val="16"/>
          <w:rFonts w:ascii="Times New Roman" w:hAnsi="Times New Roman" w:cs="Times New Roman"/>
          <w:szCs w:val="24"/>
        </w:rPr>
        <w:t>第三节  目标任务</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_Toc529634086 \h </w:instrText>
      </w:r>
      <w:r>
        <w:rPr>
          <w:rFonts w:ascii="Times New Roman" w:hAnsi="Times New Roman" w:cs="Times New Roman"/>
          <w:szCs w:val="24"/>
        </w:rPr>
        <w:fldChar w:fldCharType="separate"/>
      </w:r>
      <w:r>
        <w:rPr>
          <w:rFonts w:ascii="Times New Roman" w:hAnsi="Times New Roman" w:cs="Times New Roman"/>
          <w:szCs w:val="24"/>
        </w:rPr>
        <w:t>4</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"_Toc529634090" </w:instrText>
      </w:r>
      <w:r>
        <w:fldChar w:fldCharType="separate"/>
      </w:r>
      <w:r>
        <w:rPr>
          <w:rStyle w:val="16"/>
          <w:rFonts w:ascii="Times New Roman" w:hAnsi="Times New Roman" w:cs="Times New Roman"/>
          <w:szCs w:val="24"/>
        </w:rPr>
        <w:t>第四节  基本原则</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_Toc529634090 \h </w:instrText>
      </w:r>
      <w:r>
        <w:rPr>
          <w:rFonts w:ascii="Times New Roman" w:hAnsi="Times New Roman" w:cs="Times New Roman"/>
          <w:szCs w:val="24"/>
        </w:rPr>
        <w:fldChar w:fldCharType="separate"/>
      </w:r>
      <w:r>
        <w:rPr>
          <w:rFonts w:ascii="Times New Roman" w:hAnsi="Times New Roman" w:cs="Times New Roman"/>
          <w:szCs w:val="24"/>
        </w:rPr>
        <w:t>5</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"_Toc529634091" </w:instrText>
      </w:r>
      <w:r>
        <w:fldChar w:fldCharType="separate"/>
      </w:r>
      <w:r>
        <w:rPr>
          <w:rStyle w:val="16"/>
          <w:rFonts w:ascii="Times New Roman" w:hAnsi="Times New Roman" w:cs="Times New Roman"/>
          <w:szCs w:val="24"/>
        </w:rPr>
        <w:t>第五节  规划范围</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_Toc529634091 \h </w:instrText>
      </w:r>
      <w:r>
        <w:rPr>
          <w:rFonts w:ascii="Times New Roman" w:hAnsi="Times New Roman" w:cs="Times New Roman"/>
          <w:szCs w:val="24"/>
        </w:rPr>
        <w:fldChar w:fldCharType="separate"/>
      </w:r>
      <w:r>
        <w:rPr>
          <w:rFonts w:ascii="Times New Roman" w:hAnsi="Times New Roman" w:cs="Times New Roman"/>
          <w:szCs w:val="24"/>
        </w:rPr>
        <w:t>6</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1"/>
        <w:tabs>
          <w:tab w:val="right" w:leader="dot" w:pos="9402"/>
        </w:tabs>
        <w:spacing w:line="360" w:lineRule="auto"/>
        <w:rPr>
          <w:rFonts w:ascii="Times New Roman" w:hAnsi="Times New Roman" w:cs="Times New Roman"/>
          <w:szCs w:val="24"/>
        </w:rPr>
      </w:pPr>
      <w:r>
        <w:fldChar w:fldCharType="begin"/>
      </w:r>
      <w:r>
        <w:instrText xml:space="preserve"> HYPERLINK \l "_Toc529634092" </w:instrText>
      </w:r>
      <w:r>
        <w:fldChar w:fldCharType="separate"/>
      </w:r>
      <w:r>
        <w:rPr>
          <w:rStyle w:val="16"/>
          <w:rFonts w:ascii="Times New Roman" w:hAnsi="Times New Roman" w:cs="Times New Roman"/>
          <w:szCs w:val="24"/>
        </w:rPr>
        <w:t>第二章  养殖水域滩涂利用评价</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_Toc529634092 \h </w:instrText>
      </w:r>
      <w:r>
        <w:rPr>
          <w:rFonts w:ascii="Times New Roman" w:hAnsi="Times New Roman" w:cs="Times New Roman"/>
          <w:szCs w:val="24"/>
        </w:rPr>
        <w:fldChar w:fldCharType="separate"/>
      </w:r>
      <w:r>
        <w:rPr>
          <w:rFonts w:ascii="Times New Roman" w:hAnsi="Times New Roman" w:cs="Times New Roman"/>
          <w:szCs w:val="24"/>
        </w:rPr>
        <w:t>6</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"_Toc529634093" </w:instrText>
      </w:r>
      <w:r>
        <w:fldChar w:fldCharType="separate"/>
      </w:r>
      <w:r>
        <w:rPr>
          <w:rStyle w:val="16"/>
          <w:rFonts w:ascii="Times New Roman" w:hAnsi="Times New Roman" w:cs="Times New Roman"/>
          <w:szCs w:val="24"/>
        </w:rPr>
        <w:t>第六节  水域滩涂承载力分析</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_Toc529634093 \h </w:instrText>
      </w:r>
      <w:r>
        <w:rPr>
          <w:rFonts w:ascii="Times New Roman" w:hAnsi="Times New Roman" w:cs="Times New Roman"/>
          <w:szCs w:val="24"/>
        </w:rPr>
        <w:fldChar w:fldCharType="separate"/>
      </w:r>
      <w:r>
        <w:rPr>
          <w:rFonts w:ascii="Times New Roman" w:hAnsi="Times New Roman" w:cs="Times New Roman"/>
          <w:szCs w:val="24"/>
        </w:rPr>
        <w:t>6</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"_Toc529634094" </w:instrText>
      </w:r>
      <w:r>
        <w:fldChar w:fldCharType="separate"/>
      </w:r>
      <w:r>
        <w:rPr>
          <w:rStyle w:val="16"/>
          <w:rFonts w:ascii="Times New Roman" w:hAnsi="Times New Roman" w:cs="Times New Roman"/>
          <w:szCs w:val="24"/>
        </w:rPr>
        <w:t>第七节  水产养殖产业发展分析</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_Toc529634094 \h </w:instrText>
      </w:r>
      <w:r>
        <w:rPr>
          <w:rFonts w:ascii="Times New Roman" w:hAnsi="Times New Roman" w:cs="Times New Roman"/>
          <w:szCs w:val="24"/>
        </w:rPr>
        <w:fldChar w:fldCharType="separate"/>
      </w:r>
      <w:r>
        <w:rPr>
          <w:rFonts w:ascii="Times New Roman" w:hAnsi="Times New Roman" w:cs="Times New Roman"/>
          <w:szCs w:val="24"/>
        </w:rPr>
        <w:t>14</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"_Toc529634095" </w:instrText>
      </w:r>
      <w:r>
        <w:fldChar w:fldCharType="separate"/>
      </w:r>
      <w:r>
        <w:rPr>
          <w:rStyle w:val="16"/>
          <w:rFonts w:ascii="Times New Roman" w:hAnsi="Times New Roman" w:cs="Times New Roman"/>
          <w:szCs w:val="24"/>
        </w:rPr>
        <w:t>第八节  养殖水域滩涂开发总体思路</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_Toc529634095 \h </w:instrText>
      </w:r>
      <w:r>
        <w:rPr>
          <w:rFonts w:ascii="Times New Roman" w:hAnsi="Times New Roman" w:cs="Times New Roman"/>
          <w:szCs w:val="24"/>
        </w:rPr>
        <w:fldChar w:fldCharType="separate"/>
      </w:r>
      <w:r>
        <w:rPr>
          <w:rFonts w:ascii="Times New Roman" w:hAnsi="Times New Roman" w:cs="Times New Roman"/>
          <w:szCs w:val="24"/>
        </w:rPr>
        <w:t>16</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1"/>
        <w:tabs>
          <w:tab w:val="right" w:leader="dot" w:pos="9402"/>
        </w:tabs>
        <w:spacing w:line="360" w:lineRule="auto"/>
        <w:rPr>
          <w:rFonts w:ascii="Times New Roman" w:hAnsi="Times New Roman" w:cs="Times New Roman"/>
          <w:szCs w:val="24"/>
        </w:rPr>
      </w:pPr>
      <w:r>
        <w:fldChar w:fldCharType="begin"/>
      </w:r>
      <w:r>
        <w:instrText xml:space="preserve"> HYPERLINK \l "_Toc529634096" </w:instrText>
      </w:r>
      <w:r>
        <w:fldChar w:fldCharType="separate"/>
      </w:r>
      <w:r>
        <w:rPr>
          <w:rStyle w:val="16"/>
          <w:rFonts w:ascii="Times New Roman" w:hAnsi="Times New Roman" w:cs="Times New Roman"/>
          <w:szCs w:val="24"/>
        </w:rPr>
        <w:t>第三章  养殖水域功能区划</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_Toc529634096 \h </w:instrText>
      </w:r>
      <w:r>
        <w:rPr>
          <w:rFonts w:ascii="Times New Roman" w:hAnsi="Times New Roman" w:cs="Times New Roman"/>
          <w:szCs w:val="24"/>
        </w:rPr>
        <w:fldChar w:fldCharType="separate"/>
      </w:r>
      <w:r>
        <w:rPr>
          <w:rFonts w:ascii="Times New Roman" w:hAnsi="Times New Roman" w:cs="Times New Roman"/>
          <w:szCs w:val="24"/>
        </w:rPr>
        <w:t>18</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"_Toc529634097" </w:instrText>
      </w:r>
      <w:r>
        <w:fldChar w:fldCharType="separate"/>
      </w:r>
      <w:r>
        <w:rPr>
          <w:rStyle w:val="16"/>
          <w:rFonts w:ascii="Times New Roman" w:hAnsi="Times New Roman" w:cs="Times New Roman"/>
          <w:szCs w:val="24"/>
        </w:rPr>
        <w:t>第九节  功能区概述</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_Toc529634097 \h </w:instrText>
      </w:r>
      <w:r>
        <w:rPr>
          <w:rFonts w:ascii="Times New Roman" w:hAnsi="Times New Roman" w:cs="Times New Roman"/>
          <w:szCs w:val="24"/>
        </w:rPr>
        <w:fldChar w:fldCharType="separate"/>
      </w:r>
      <w:r>
        <w:rPr>
          <w:rFonts w:ascii="Times New Roman" w:hAnsi="Times New Roman" w:cs="Times New Roman"/>
          <w:szCs w:val="24"/>
        </w:rPr>
        <w:t>18</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"_Toc529634098" </w:instrText>
      </w:r>
      <w:r>
        <w:fldChar w:fldCharType="separate"/>
      </w:r>
      <w:r>
        <w:rPr>
          <w:rStyle w:val="16"/>
          <w:rFonts w:ascii="Times New Roman" w:hAnsi="Times New Roman" w:cs="Times New Roman"/>
          <w:szCs w:val="24"/>
        </w:rPr>
        <w:t>第十节  禁止养殖区</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_Toc529634098 \h </w:instrText>
      </w:r>
      <w:r>
        <w:rPr>
          <w:rFonts w:ascii="Times New Roman" w:hAnsi="Times New Roman" w:cs="Times New Roman"/>
          <w:szCs w:val="24"/>
        </w:rPr>
        <w:fldChar w:fldCharType="separate"/>
      </w:r>
      <w:r>
        <w:rPr>
          <w:rFonts w:ascii="Times New Roman" w:hAnsi="Times New Roman" w:cs="Times New Roman"/>
          <w:szCs w:val="24"/>
        </w:rPr>
        <w:t>19</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"_Toc529634099" </w:instrText>
      </w:r>
      <w:r>
        <w:fldChar w:fldCharType="separate"/>
      </w:r>
      <w:r>
        <w:rPr>
          <w:rStyle w:val="16"/>
          <w:rFonts w:ascii="Times New Roman" w:hAnsi="Times New Roman" w:cs="Times New Roman"/>
          <w:szCs w:val="24"/>
        </w:rPr>
        <w:t>第十一节  限制养殖区</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_Toc529634099 \h </w:instrText>
      </w:r>
      <w:r>
        <w:rPr>
          <w:rFonts w:ascii="Times New Roman" w:hAnsi="Times New Roman" w:cs="Times New Roman"/>
          <w:szCs w:val="24"/>
        </w:rPr>
        <w:fldChar w:fldCharType="separate"/>
      </w:r>
      <w:r>
        <w:rPr>
          <w:rFonts w:ascii="Times New Roman" w:hAnsi="Times New Roman" w:cs="Times New Roman"/>
          <w:szCs w:val="24"/>
        </w:rPr>
        <w:t>20</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"_Toc529634100" </w:instrText>
      </w:r>
      <w:r>
        <w:fldChar w:fldCharType="separate"/>
      </w:r>
      <w:r>
        <w:rPr>
          <w:rStyle w:val="16"/>
          <w:rFonts w:ascii="Times New Roman" w:hAnsi="Times New Roman" w:cs="Times New Roman"/>
          <w:szCs w:val="24"/>
        </w:rPr>
        <w:t>第十二节  养殖区</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_Toc529634100 \h </w:instrText>
      </w:r>
      <w:r>
        <w:rPr>
          <w:rFonts w:ascii="Times New Roman" w:hAnsi="Times New Roman" w:cs="Times New Roman"/>
          <w:szCs w:val="24"/>
        </w:rPr>
        <w:fldChar w:fldCharType="separate"/>
      </w:r>
      <w:r>
        <w:rPr>
          <w:rFonts w:ascii="Times New Roman" w:hAnsi="Times New Roman" w:cs="Times New Roman"/>
          <w:szCs w:val="24"/>
        </w:rPr>
        <w:t>20</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1"/>
        <w:tabs>
          <w:tab w:val="right" w:leader="dot" w:pos="9402"/>
        </w:tabs>
        <w:spacing w:line="360" w:lineRule="auto"/>
        <w:rPr>
          <w:rFonts w:ascii="Times New Roman" w:hAnsi="Times New Roman" w:cs="Times New Roman"/>
          <w:szCs w:val="24"/>
        </w:rPr>
      </w:pPr>
      <w:r>
        <w:fldChar w:fldCharType="begin"/>
      </w:r>
      <w:r>
        <w:instrText xml:space="preserve"> HYPERLINK \l "_Toc529634101" </w:instrText>
      </w:r>
      <w:r>
        <w:fldChar w:fldCharType="separate"/>
      </w:r>
      <w:r>
        <w:rPr>
          <w:rStyle w:val="16"/>
          <w:rFonts w:ascii="Times New Roman" w:hAnsi="Times New Roman" w:cs="Times New Roman"/>
          <w:szCs w:val="24"/>
        </w:rPr>
        <w:t>第四章  保障措施</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_Toc529634101 \h </w:instrText>
      </w:r>
      <w:r>
        <w:rPr>
          <w:rFonts w:ascii="Times New Roman" w:hAnsi="Times New Roman" w:cs="Times New Roman"/>
          <w:szCs w:val="24"/>
        </w:rPr>
        <w:fldChar w:fldCharType="separate"/>
      </w:r>
      <w:r>
        <w:rPr>
          <w:rFonts w:ascii="Times New Roman" w:hAnsi="Times New Roman" w:cs="Times New Roman"/>
          <w:szCs w:val="24"/>
        </w:rPr>
        <w:t>21</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"_Toc529634102" </w:instrText>
      </w:r>
      <w:r>
        <w:fldChar w:fldCharType="separate"/>
      </w:r>
      <w:r>
        <w:rPr>
          <w:rStyle w:val="16"/>
          <w:rFonts w:ascii="Times New Roman" w:hAnsi="Times New Roman" w:cs="Times New Roman"/>
          <w:szCs w:val="24"/>
        </w:rPr>
        <w:t>第十三节  加强组织领导</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_Toc529634102 \h </w:instrText>
      </w:r>
      <w:r>
        <w:rPr>
          <w:rFonts w:ascii="Times New Roman" w:hAnsi="Times New Roman" w:cs="Times New Roman"/>
          <w:szCs w:val="24"/>
        </w:rPr>
        <w:fldChar w:fldCharType="separate"/>
      </w:r>
      <w:r>
        <w:rPr>
          <w:rFonts w:ascii="Times New Roman" w:hAnsi="Times New Roman" w:cs="Times New Roman"/>
          <w:szCs w:val="24"/>
        </w:rPr>
        <w:t>21</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"_Toc529634103" </w:instrText>
      </w:r>
      <w:r>
        <w:fldChar w:fldCharType="separate"/>
      </w:r>
      <w:r>
        <w:rPr>
          <w:rStyle w:val="16"/>
          <w:rFonts w:ascii="Times New Roman" w:hAnsi="Times New Roman" w:cs="Times New Roman"/>
          <w:szCs w:val="24"/>
        </w:rPr>
        <w:t>第十四节  强化监督检查</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_Toc529634103 \h </w:instrText>
      </w:r>
      <w:r>
        <w:rPr>
          <w:rFonts w:ascii="Times New Roman" w:hAnsi="Times New Roman" w:cs="Times New Roman"/>
          <w:szCs w:val="24"/>
        </w:rPr>
        <w:fldChar w:fldCharType="separate"/>
      </w:r>
      <w:r>
        <w:rPr>
          <w:rFonts w:ascii="Times New Roman" w:hAnsi="Times New Roman" w:cs="Times New Roman"/>
          <w:szCs w:val="24"/>
        </w:rPr>
        <w:t>21</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"_Toc529634104" </w:instrText>
      </w:r>
      <w:r>
        <w:fldChar w:fldCharType="separate"/>
      </w:r>
      <w:r>
        <w:rPr>
          <w:rStyle w:val="16"/>
          <w:rFonts w:ascii="Times New Roman" w:hAnsi="Times New Roman" w:cs="Times New Roman"/>
          <w:szCs w:val="24"/>
        </w:rPr>
        <w:t>第十五节  完善生态保护</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_Toc529634104 \h </w:instrText>
      </w:r>
      <w:r>
        <w:rPr>
          <w:rFonts w:ascii="Times New Roman" w:hAnsi="Times New Roman" w:cs="Times New Roman"/>
          <w:szCs w:val="24"/>
        </w:rPr>
        <w:fldChar w:fldCharType="separate"/>
      </w:r>
      <w:r>
        <w:rPr>
          <w:rFonts w:ascii="Times New Roman" w:hAnsi="Times New Roman" w:cs="Times New Roman"/>
          <w:szCs w:val="24"/>
        </w:rPr>
        <w:t>22</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rPr>
      </w:pPr>
      <w:r>
        <w:fldChar w:fldCharType="begin"/>
      </w:r>
      <w:r>
        <w:instrText xml:space="preserve"> HYPERLINK \l "_Toc529634105" </w:instrText>
      </w:r>
      <w:r>
        <w:fldChar w:fldCharType="separate"/>
      </w:r>
      <w:r>
        <w:rPr>
          <w:rStyle w:val="16"/>
          <w:rFonts w:ascii="Times New Roman" w:hAnsi="Times New Roman" w:cs="Times New Roman"/>
          <w:szCs w:val="24"/>
        </w:rPr>
        <w:t>第十六节  强化科</w:t>
      </w:r>
      <w:r>
        <w:rPr>
          <w:rStyle w:val="16"/>
          <w:rFonts w:hint="eastAsia" w:ascii="Times New Roman" w:hAnsi="Times New Roman" w:cs="Times New Roman"/>
          <w:szCs w:val="24"/>
        </w:rPr>
        <w:t>教</w:t>
      </w:r>
      <w:r>
        <w:rPr>
          <w:rStyle w:val="16"/>
          <w:rFonts w:ascii="Times New Roman" w:hAnsi="Times New Roman" w:cs="Times New Roman"/>
          <w:szCs w:val="24"/>
        </w:rPr>
        <w:t>宣传</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_Toc529634105 \h </w:instrText>
      </w:r>
      <w:r>
        <w:rPr>
          <w:rFonts w:ascii="Times New Roman" w:hAnsi="Times New Roman" w:cs="Times New Roman"/>
          <w:szCs w:val="24"/>
        </w:rPr>
        <w:fldChar w:fldCharType="separate"/>
      </w:r>
      <w:r>
        <w:rPr>
          <w:rFonts w:ascii="Times New Roman" w:hAnsi="Times New Roman" w:cs="Times New Roman"/>
          <w:szCs w:val="24"/>
        </w:rPr>
        <w:t>22</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2"/>
        <w:tabs>
          <w:tab w:val="right" w:leader="dot" w:pos="9402"/>
        </w:tabs>
        <w:spacing w:line="360" w:lineRule="auto"/>
        <w:rPr>
          <w:rFonts w:ascii="Times New Roman" w:hAnsi="Times New Roman" w:cs="Times New Roman"/>
          <w:szCs w:val="24"/>
        </w:rPr>
      </w:pPr>
      <w:r>
        <w:fldChar w:fldCharType="begin"/>
      </w:r>
      <w:r>
        <w:instrText xml:space="preserve"> HYPERLINK \l "_Toc529634105" </w:instrText>
      </w:r>
      <w:r>
        <w:fldChar w:fldCharType="separate"/>
      </w:r>
      <w:r>
        <w:rPr>
          <w:rStyle w:val="16"/>
          <w:rFonts w:ascii="Times New Roman" w:hAnsi="Times New Roman" w:cs="Times New Roman"/>
          <w:szCs w:val="24"/>
        </w:rPr>
        <w:t>第十七节  规划实施管理</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_Toc529634105 \h </w:instrText>
      </w:r>
      <w:r>
        <w:rPr>
          <w:rFonts w:ascii="Times New Roman" w:hAnsi="Times New Roman" w:cs="Times New Roman"/>
          <w:szCs w:val="24"/>
        </w:rPr>
        <w:fldChar w:fldCharType="separate"/>
      </w:r>
      <w:r>
        <w:rPr>
          <w:rFonts w:ascii="Times New Roman" w:hAnsi="Times New Roman" w:cs="Times New Roman"/>
          <w:szCs w:val="24"/>
        </w:rPr>
        <w:t>22</w:t>
      </w:r>
      <w:r>
        <w:rPr>
          <w:rFonts w:ascii="Times New Roman" w:hAnsi="Times New Roman" w:cs="Times New Roman"/>
          <w:szCs w:val="24"/>
        </w:rPr>
        <w:fldChar w:fldCharType="end"/>
      </w:r>
      <w:r>
        <w:rPr>
          <w:rFonts w:ascii="Times New Roman" w:hAnsi="Times New Roman" w:cs="Times New Roman"/>
          <w:szCs w:val="24"/>
        </w:rPr>
        <w:fldChar w:fldCharType="end"/>
      </w:r>
    </w:p>
    <w:p>
      <w:pPr>
        <w:pStyle w:val="11"/>
        <w:tabs>
          <w:tab w:val="right" w:leader="dot" w:pos="9402"/>
        </w:tabs>
        <w:spacing w:line="360" w:lineRule="auto"/>
        <w:rPr>
          <w:rFonts w:ascii="Times New Roman" w:hAnsi="Times New Roman" w:cs="Times New Roman"/>
          <w:szCs w:val="24"/>
        </w:rPr>
      </w:pPr>
      <w:r>
        <w:fldChar w:fldCharType="begin"/>
      </w:r>
      <w:r>
        <w:instrText xml:space="preserve"> HYPERLINK \l "_Toc529634106" </w:instrText>
      </w:r>
      <w:r>
        <w:fldChar w:fldCharType="separate"/>
      </w:r>
      <w:r>
        <w:rPr>
          <w:rStyle w:val="16"/>
          <w:rFonts w:ascii="Times New Roman" w:hAnsi="Times New Roman" w:cs="Times New Roman"/>
          <w:szCs w:val="24"/>
        </w:rPr>
        <w:t>第五章  附  则</w:t>
      </w:r>
      <w:r>
        <w:rPr>
          <w:rFonts w:ascii="Times New Roman" w:hAnsi="Times New Roman" w:cs="Times New Roman"/>
          <w:szCs w:val="24"/>
        </w:rPr>
        <w:tab/>
      </w:r>
      <w:r>
        <w:rPr>
          <w:rFonts w:ascii="Times New Roman" w:hAnsi="Times New Roman" w:cs="Times New Roman"/>
          <w:szCs w:val="24"/>
        </w:rPr>
        <w:fldChar w:fldCharType="begin"/>
      </w:r>
      <w:r>
        <w:rPr>
          <w:rFonts w:ascii="Times New Roman" w:hAnsi="Times New Roman" w:cs="Times New Roman"/>
          <w:szCs w:val="24"/>
        </w:rPr>
        <w:instrText xml:space="preserve"> PAGEREF _Toc529634106 \h </w:instrText>
      </w:r>
      <w:r>
        <w:rPr>
          <w:rFonts w:ascii="Times New Roman" w:hAnsi="Times New Roman" w:cs="Times New Roman"/>
          <w:szCs w:val="24"/>
        </w:rPr>
        <w:fldChar w:fldCharType="separate"/>
      </w:r>
      <w:r>
        <w:rPr>
          <w:rFonts w:ascii="Times New Roman" w:hAnsi="Times New Roman" w:cs="Times New Roman"/>
          <w:szCs w:val="24"/>
        </w:rPr>
        <w:t>24</w:t>
      </w:r>
      <w:r>
        <w:rPr>
          <w:rFonts w:ascii="Times New Roman" w:hAnsi="Times New Roman" w:cs="Times New Roman"/>
          <w:szCs w:val="24"/>
        </w:rPr>
        <w:fldChar w:fldCharType="end"/>
      </w:r>
      <w:r>
        <w:rPr>
          <w:rFonts w:ascii="Times New Roman" w:hAnsi="Times New Roman" w:cs="Times New Roman"/>
          <w:szCs w:val="24"/>
        </w:rPr>
        <w:fldChar w:fldCharType="end"/>
      </w:r>
    </w:p>
    <w:p>
      <w:pPr>
        <w:spacing w:line="360" w:lineRule="auto"/>
        <w:jc w:val="center"/>
        <w:rPr>
          <w:rFonts w:ascii="Times New Roman" w:hAnsi="Times New Roman" w:eastAsia="黑体" w:cs="Times New Roman"/>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304" w:right="1247" w:bottom="1304" w:left="1247" w:header="851" w:footer="992" w:gutter="0"/>
          <w:cols w:space="425" w:num="1"/>
          <w:docGrid w:type="lines" w:linePitch="312" w:charSpace="0"/>
        </w:sectPr>
      </w:pPr>
      <w:r>
        <w:rPr>
          <w:rFonts w:ascii="Times New Roman" w:hAnsi="Times New Roman" w:eastAsia="黑体" w:cs="Times New Roman"/>
          <w:spacing w:val="60"/>
          <w:sz w:val="24"/>
          <w:szCs w:val="24"/>
        </w:rPr>
        <w:fldChar w:fldCharType="end"/>
      </w:r>
    </w:p>
    <w:p>
      <w:pPr>
        <w:overflowPunct w:val="0"/>
        <w:autoSpaceDE w:val="0"/>
        <w:autoSpaceDN w:val="0"/>
        <w:spacing w:line="720" w:lineRule="exact"/>
        <w:jc w:val="center"/>
        <w:rPr>
          <w:rFonts w:ascii="Times New Roman" w:hAnsi="Times New Roman" w:cs="Times New Roman" w:eastAsiaTheme="majorEastAsia"/>
          <w:b/>
          <w:sz w:val="40"/>
          <w:szCs w:val="32"/>
        </w:rPr>
      </w:pPr>
      <w:bookmarkStart w:id="0" w:name="_Toc529634083"/>
      <w:r>
        <w:rPr>
          <w:rFonts w:ascii="Times New Roman" w:cs="Times New Roman" w:hAnsiTheme="majorEastAsia" w:eastAsiaTheme="majorEastAsia"/>
          <w:b/>
          <w:spacing w:val="60"/>
          <w:sz w:val="40"/>
          <w:szCs w:val="40"/>
        </w:rPr>
        <w:t>庄河市养殖水域滩涂规划</w:t>
      </w:r>
    </w:p>
    <w:p>
      <w:pPr>
        <w:jc w:val="center"/>
        <w:rPr>
          <w:rFonts w:ascii="Times New Roman" w:hAnsi="Times New Roman" w:cs="Times New Roman"/>
          <w:b/>
          <w:sz w:val="32"/>
          <w:szCs w:val="32"/>
        </w:rPr>
      </w:pPr>
      <w:r>
        <w:rPr>
          <w:rFonts w:ascii="Times New Roman" w:hAnsi="Times New Roman" w:cs="Times New Roman"/>
          <w:b/>
          <w:sz w:val="32"/>
          <w:szCs w:val="32"/>
        </w:rPr>
        <w:t>（2018-2030年）</w:t>
      </w:r>
    </w:p>
    <w:p>
      <w:pPr>
        <w:pStyle w:val="2"/>
        <w:adjustRightInd w:val="0"/>
        <w:snapToGrid w:val="0"/>
        <w:spacing w:before="240" w:after="120" w:line="360" w:lineRule="auto"/>
        <w:jc w:val="center"/>
        <w:rPr>
          <w:rFonts w:ascii="Times New Roman" w:hAnsi="Times New Roman" w:eastAsia="黑体" w:cs="Times New Roman"/>
          <w:b w:val="0"/>
          <w:sz w:val="32"/>
          <w:szCs w:val="30"/>
        </w:rPr>
      </w:pPr>
    </w:p>
    <w:p>
      <w:pPr>
        <w:pStyle w:val="2"/>
        <w:adjustRightInd w:val="0"/>
        <w:snapToGrid w:val="0"/>
        <w:spacing w:before="240" w:after="120" w:line="360" w:lineRule="auto"/>
        <w:jc w:val="center"/>
        <w:rPr>
          <w:rFonts w:ascii="Times New Roman" w:hAnsi="Times New Roman" w:eastAsia="黑体" w:cs="Times New Roman"/>
          <w:b w:val="0"/>
          <w:sz w:val="32"/>
          <w:szCs w:val="30"/>
        </w:rPr>
      </w:pPr>
      <w:r>
        <w:rPr>
          <w:rFonts w:ascii="Times New Roman" w:hAnsi="Times New Roman" w:eastAsia="黑体" w:cs="Times New Roman"/>
          <w:b w:val="0"/>
          <w:sz w:val="32"/>
          <w:szCs w:val="30"/>
        </w:rPr>
        <w:t>第一章  总则</w:t>
      </w:r>
      <w:bookmarkEnd w:id="0"/>
    </w:p>
    <w:p>
      <w:pPr>
        <w:pStyle w:val="3"/>
        <w:adjustRightInd w:val="0"/>
        <w:snapToGrid w:val="0"/>
        <w:spacing w:beforeLines="50" w:afterLines="50" w:line="360" w:lineRule="auto"/>
        <w:jc w:val="center"/>
        <w:rPr>
          <w:rFonts w:ascii="Times New Roman" w:hAnsi="Times New Roman"/>
          <w:b w:val="0"/>
          <w:sz w:val="30"/>
          <w:szCs w:val="30"/>
        </w:rPr>
      </w:pPr>
      <w:bookmarkStart w:id="1" w:name="_Toc529634084"/>
      <w:r>
        <w:rPr>
          <w:rFonts w:ascii="Times New Roman" w:hAnsi="Times New Roman"/>
          <w:b w:val="0"/>
          <w:sz w:val="30"/>
          <w:szCs w:val="30"/>
        </w:rPr>
        <w:t>第一节  前言</w:t>
      </w:r>
      <w:bookmarkEnd w:id="1"/>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位于辽东半岛东南部、大连市东北部，为大连市所辖北三市之一，地理坐标为东经122°29′~123°31′，北纬39°14′~40°12′。庄河市所辖海域处大连东部的黄海海域，东与丹东东港市接壤,西以碧流河为界与普兰店市为邻,北依群山与盖州市、岫岩满族自治县相连，南濒黄海与长海县隔海相望，地理条件优越，海洋资源丰富。庄河市海域选划区面积约2900</w:t>
      </w:r>
      <w:r>
        <w:rPr>
          <w:rFonts w:hint="eastAsia" w:ascii="Times New Roman" w:hAnsi="Times New Roman" w:eastAsia="华文仿宋" w:cs="Times New Roman"/>
          <w:sz w:val="30"/>
          <w:szCs w:val="30"/>
        </w:rPr>
        <w:t>平方千米</w:t>
      </w:r>
      <w:r>
        <w:rPr>
          <w:rFonts w:ascii="Times New Roman" w:hAnsi="Times New Roman" w:eastAsia="华文仿宋" w:cs="Times New Roman"/>
          <w:sz w:val="30"/>
          <w:szCs w:val="30"/>
        </w:rPr>
        <w:t>，距海岸线约35</w:t>
      </w:r>
      <w:r>
        <w:rPr>
          <w:rFonts w:hint="eastAsia" w:ascii="Times New Roman" w:hAnsi="Times New Roman" w:eastAsia="华文仿宋" w:cs="Times New Roman"/>
          <w:sz w:val="30"/>
          <w:szCs w:val="30"/>
        </w:rPr>
        <w:t>千米</w:t>
      </w:r>
      <w:r>
        <w:rPr>
          <w:rFonts w:ascii="Times New Roman" w:hAnsi="Times New Roman" w:eastAsia="华文仿宋" w:cs="Times New Roman"/>
          <w:sz w:val="30"/>
          <w:szCs w:val="30"/>
        </w:rPr>
        <w:t>，等深线-50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以内。庄河市内河流主要有碧流河、英纳河等，河流与海流的交汇处水质肥沃、饵料充足，渔业资源丰富，是多种鱼虾贝类索饵洄游、繁衍栖息的优良场所。“十二五”期间，庄河市经济产业结构发生较大改变，港口、临港产业、沿海城镇建设等新兴产业逐步替代养殖产业，在一定程度上给养殖产业的发展增加了压力，同时促使养殖业在有限的区域内向高产、高效的现代渔业发展。针对当前庄河市的区域发展定位和海洋经济发展特点，如何协调养殖产业与其它产业的发展关系，在有限的水域滩涂条件下发展养殖产业，提升养殖品种的质量和产量，并发展现代渔业以优化海域生态环境，亟需科学的规划以实现庄河市水产养殖业的跨越式发展。</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为进一步加强对庄河市水产养殖的规范化管理，合理开发利用庄河市养殖海域空间资源，实现养殖水域滩涂资源的有效配置，改善水域生态环境，提升水产品质量，促进庄河市渔业全面、协调、可持续发展，同时协调好水产养殖与沿海开发和城镇化进程等方面的关系，根据庄河市水域滩涂自然资源条件的特点，结合全面实施渔业结构战略调整和加强渔业资源保护、增殖、开发与合理利用，按照《农业部关于印发&lt;养殖水域滩涂规划编制工作规范&gt;和&lt;养殖水域滩涂规划编制大纲&gt;的通知》（农渔发[2016]39号）及《辽宁省海洋与渔业厅关于开展养殖水域滩涂规划编制工作的通知》（辽海渔业字[2017]86号）要求，在相关规划所确定的养殖功能区的基础上，制定本规划。</w:t>
      </w:r>
    </w:p>
    <w:p>
      <w:pPr>
        <w:pStyle w:val="3"/>
        <w:adjustRightInd w:val="0"/>
        <w:snapToGrid w:val="0"/>
        <w:spacing w:beforeLines="50" w:afterLines="50" w:line="360" w:lineRule="auto"/>
        <w:jc w:val="center"/>
        <w:rPr>
          <w:rFonts w:ascii="Times New Roman" w:hAnsi="Times New Roman"/>
          <w:b w:val="0"/>
          <w:sz w:val="30"/>
          <w:szCs w:val="30"/>
        </w:rPr>
      </w:pPr>
      <w:bookmarkStart w:id="2" w:name="_Toc529634085"/>
      <w:r>
        <w:rPr>
          <w:rFonts w:ascii="Times New Roman" w:hAnsi="Times New Roman"/>
          <w:b w:val="0"/>
          <w:sz w:val="30"/>
          <w:szCs w:val="30"/>
        </w:rPr>
        <w:t>第二节  编制依据</w:t>
      </w:r>
      <w:bookmarkEnd w:id="2"/>
    </w:p>
    <w:p>
      <w:pPr>
        <w:ind w:firstLine="452" w:firstLineChars="150"/>
        <w:rPr>
          <w:rFonts w:ascii="Times New Roman" w:hAnsi="Times New Roman" w:eastAsia="华文仿宋" w:cs="Times New Roman"/>
          <w:b/>
          <w:sz w:val="30"/>
          <w:szCs w:val="30"/>
        </w:rPr>
      </w:pPr>
      <w:r>
        <w:rPr>
          <w:rFonts w:ascii="Times New Roman" w:hAnsi="Times New Roman" w:eastAsia="华文仿宋" w:cs="Times New Roman"/>
          <w:b/>
          <w:sz w:val="30"/>
          <w:szCs w:val="30"/>
        </w:rPr>
        <w:t>第一条  法律</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1.《中华人民共和国渔业法》（20</w:t>
      </w:r>
      <w:r>
        <w:rPr>
          <w:rFonts w:hint="eastAsia" w:ascii="Times New Roman" w:hAnsi="Times New Roman" w:eastAsia="华文仿宋" w:cs="Times New Roman"/>
          <w:sz w:val="30"/>
          <w:szCs w:val="30"/>
        </w:rPr>
        <w:t>13</w:t>
      </w:r>
      <w:r>
        <w:rPr>
          <w:rFonts w:ascii="Times New Roman" w:hAnsi="Times New Roman" w:eastAsia="华文仿宋" w:cs="Times New Roman"/>
          <w:sz w:val="30"/>
          <w:szCs w:val="30"/>
        </w:rPr>
        <w:t>年12月</w:t>
      </w:r>
      <w:r>
        <w:rPr>
          <w:rFonts w:hint="eastAsia" w:ascii="Times New Roman" w:hAnsi="Times New Roman" w:eastAsia="华文仿宋" w:cs="Times New Roman"/>
          <w:sz w:val="30"/>
          <w:szCs w:val="30"/>
        </w:rPr>
        <w:t>28</w:t>
      </w:r>
      <w:r>
        <w:rPr>
          <w:rFonts w:ascii="Times New Roman" w:hAnsi="Times New Roman" w:eastAsia="华文仿宋" w:cs="Times New Roman"/>
          <w:sz w:val="30"/>
          <w:szCs w:val="30"/>
        </w:rPr>
        <w:t>日修正）</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2.《中华人民共和国土地管理法》（2004年8月28日修正）</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3.《中华人民共和国水法》（2016年7月2日修订）</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4.《中华人民共和国海洋环境保护法》（2016年11月7日修订）</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5.《中华人民共和国海域使用管理法》（2002年1月1日施行）</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6.《中华人民共和国水污染防治法》（20</w:t>
      </w:r>
      <w:r>
        <w:rPr>
          <w:rFonts w:hint="eastAsia" w:ascii="Times New Roman" w:hAnsi="Times New Roman" w:eastAsia="华文仿宋" w:cs="Times New Roman"/>
          <w:sz w:val="30"/>
          <w:szCs w:val="30"/>
        </w:rPr>
        <w:t>17</w:t>
      </w:r>
      <w:r>
        <w:rPr>
          <w:rFonts w:ascii="Times New Roman" w:hAnsi="Times New Roman" w:eastAsia="华文仿宋" w:cs="Times New Roman"/>
          <w:sz w:val="30"/>
          <w:szCs w:val="30"/>
        </w:rPr>
        <w:t>年</w:t>
      </w:r>
      <w:r>
        <w:rPr>
          <w:rFonts w:hint="eastAsia" w:ascii="Times New Roman" w:hAnsi="Times New Roman" w:eastAsia="华文仿宋" w:cs="Times New Roman"/>
          <w:sz w:val="30"/>
          <w:szCs w:val="30"/>
        </w:rPr>
        <w:t>6</w:t>
      </w:r>
      <w:r>
        <w:rPr>
          <w:rFonts w:ascii="Times New Roman" w:hAnsi="Times New Roman" w:eastAsia="华文仿宋" w:cs="Times New Roman"/>
          <w:sz w:val="30"/>
          <w:szCs w:val="30"/>
        </w:rPr>
        <w:t>月2</w:t>
      </w:r>
      <w:r>
        <w:rPr>
          <w:rFonts w:hint="eastAsia" w:ascii="Times New Roman" w:hAnsi="Times New Roman" w:eastAsia="华文仿宋" w:cs="Times New Roman"/>
          <w:sz w:val="30"/>
          <w:szCs w:val="30"/>
        </w:rPr>
        <w:t>7</w:t>
      </w:r>
      <w:r>
        <w:rPr>
          <w:rFonts w:ascii="Times New Roman" w:hAnsi="Times New Roman" w:eastAsia="华文仿宋" w:cs="Times New Roman"/>
          <w:sz w:val="30"/>
          <w:szCs w:val="30"/>
        </w:rPr>
        <w:t>日修订）</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7.《中华人民共和国农产品质量安全法》（2006年11月1日施行）</w:t>
      </w:r>
    </w:p>
    <w:p>
      <w:pPr>
        <w:ind w:firstLine="452" w:firstLineChars="150"/>
        <w:rPr>
          <w:rFonts w:ascii="Times New Roman" w:hAnsi="Times New Roman" w:eastAsia="华文仿宋" w:cs="Times New Roman"/>
          <w:b/>
          <w:sz w:val="30"/>
          <w:szCs w:val="30"/>
        </w:rPr>
      </w:pPr>
      <w:r>
        <w:rPr>
          <w:rFonts w:ascii="Times New Roman" w:hAnsi="Times New Roman" w:eastAsia="华文仿宋" w:cs="Times New Roman"/>
          <w:b/>
          <w:sz w:val="30"/>
          <w:szCs w:val="30"/>
        </w:rPr>
        <w:t>第二条  行政法规</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1.《中华人民共和国土地管理法实施条例》（1999年1月1日施行）</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2.《中华人民共和国渔业法实施细则》（1987年10月20日施行）</w:t>
      </w:r>
    </w:p>
    <w:p>
      <w:pPr>
        <w:ind w:firstLine="452" w:firstLineChars="150"/>
        <w:rPr>
          <w:rFonts w:ascii="Times New Roman" w:hAnsi="Times New Roman" w:eastAsia="华文仿宋" w:cs="Times New Roman"/>
          <w:b/>
          <w:sz w:val="30"/>
          <w:szCs w:val="30"/>
        </w:rPr>
      </w:pPr>
      <w:r>
        <w:rPr>
          <w:rFonts w:ascii="Times New Roman" w:hAnsi="Times New Roman" w:eastAsia="华文仿宋" w:cs="Times New Roman"/>
          <w:b/>
          <w:sz w:val="30"/>
          <w:szCs w:val="30"/>
        </w:rPr>
        <w:t>第三条  地方法规</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1.《辽宁省渔业管理条例》（2016年2月1日施行）</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2.《辽宁省海域使用管理办法》（2005年4月1日施行）</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3.《辽宁省海洋环境保护办法》（2006年8月1日施行）</w:t>
      </w:r>
    </w:p>
    <w:p>
      <w:pPr>
        <w:ind w:firstLine="452" w:firstLineChars="150"/>
        <w:rPr>
          <w:rFonts w:ascii="Times New Roman" w:hAnsi="Times New Roman" w:eastAsia="华文仿宋" w:cs="Times New Roman"/>
          <w:b/>
          <w:sz w:val="30"/>
          <w:szCs w:val="30"/>
        </w:rPr>
      </w:pPr>
      <w:r>
        <w:rPr>
          <w:rFonts w:ascii="Times New Roman" w:hAnsi="Times New Roman" w:eastAsia="华文仿宋" w:cs="Times New Roman"/>
          <w:b/>
          <w:sz w:val="30"/>
          <w:szCs w:val="30"/>
        </w:rPr>
        <w:t>第四条  部门规章</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1.《水域滩涂养殖发证登记办法》（2010年7月1日施行）</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2.《水产养殖质量安全管理规定》（2003年9月1日施行）</w:t>
      </w:r>
    </w:p>
    <w:p>
      <w:pPr>
        <w:ind w:firstLine="452" w:firstLineChars="150"/>
        <w:rPr>
          <w:rFonts w:ascii="Times New Roman" w:hAnsi="Times New Roman" w:eastAsia="华文仿宋" w:cs="Times New Roman"/>
          <w:b/>
          <w:sz w:val="30"/>
          <w:szCs w:val="30"/>
        </w:rPr>
      </w:pPr>
      <w:r>
        <w:rPr>
          <w:rFonts w:ascii="Times New Roman" w:hAnsi="Times New Roman" w:eastAsia="华文仿宋" w:cs="Times New Roman"/>
          <w:b/>
          <w:sz w:val="30"/>
          <w:szCs w:val="30"/>
        </w:rPr>
        <w:t>第五条  规范性文件</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1.《辽宁省海洋功能区划》（2011-2020年）</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2.《辽宁省海洋主体功能区规划》（辽政发[2017]36号）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3.《辽宁省主体功能区规划》（辽政发[2014]11号）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4.《辽宁省海洋与渔业发展“十三五”规划》</w:t>
      </w:r>
      <w:bookmarkStart w:id="31" w:name="_GoBack"/>
      <w:bookmarkEnd w:id="31"/>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5.《庄河市城市发展总体规划</w:t>
      </w:r>
      <w:r>
        <w:rPr>
          <w:rFonts w:ascii="Times New Roman" w:hAnsi="Times New Roman" w:eastAsia="仿宋_GB2312" w:cs="Times New Roman"/>
          <w:sz w:val="30"/>
          <w:szCs w:val="30"/>
        </w:rPr>
        <w:t>（2013-2030年）</w:t>
      </w:r>
      <w:r>
        <w:rPr>
          <w:rFonts w:ascii="Times New Roman" w:hAnsi="Times New Roman" w:eastAsia="华文仿宋" w:cs="Times New Roman"/>
          <w:sz w:val="30"/>
          <w:szCs w:val="30"/>
        </w:rPr>
        <w:t>》</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6.《庄河市海洋牧场建设控制规划》（2017-2028年）</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7.《关于在渤海实施海洋生态红线制度的意见》（辽政办发[2014]18号）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8.《关于在黄海实施海洋生态红线制度意见》（辽政办发[2016]161号）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9.《中共中央国务院关于加快推进生态文明建设的意见》（中发[2015]12号）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10.《国务院关于促进海洋渔业持续健康发展的若干意见》（国发[2013]11号）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11.《国务院关于印发水污染防治行动计划的通知》（国发[2015]17号）</w:t>
      </w:r>
    </w:p>
    <w:p>
      <w:pPr>
        <w:ind w:firstLine="450" w:firstLineChars="150"/>
        <w:rPr>
          <w:rFonts w:ascii="Times New Roman" w:hAnsi="Times New Roman" w:eastAsia="华文仿宋" w:cs="Times New Roman"/>
          <w:w w:val="90"/>
          <w:sz w:val="30"/>
          <w:szCs w:val="30"/>
        </w:rPr>
      </w:pPr>
      <w:r>
        <w:rPr>
          <w:rFonts w:ascii="Times New Roman" w:hAnsi="Times New Roman" w:eastAsia="华文仿宋" w:cs="Times New Roman"/>
          <w:sz w:val="30"/>
          <w:szCs w:val="30"/>
        </w:rPr>
        <w:t>12.《农业部关于加快推进渔业转方式调结构的指导意见》</w:t>
      </w:r>
      <w:r>
        <w:rPr>
          <w:rFonts w:ascii="Times New Roman" w:hAnsi="Times New Roman" w:eastAsia="华文仿宋" w:cs="Times New Roman"/>
          <w:w w:val="90"/>
          <w:sz w:val="30"/>
          <w:szCs w:val="30"/>
        </w:rPr>
        <w:t>（农渔发[2016]1号）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13.《农业部关于印发&lt;养殖水域滩涂规划编制工作规范&gt;和&lt;养殖水域滩涂规划编制大纲&gt;的通知》（农渔发[2016]39号）</w:t>
      </w:r>
    </w:p>
    <w:p>
      <w:pPr>
        <w:ind w:firstLine="450" w:firstLineChars="150"/>
        <w:rPr>
          <w:rFonts w:ascii="Times New Roman" w:hAnsi="Times New Roman" w:eastAsia="华文仿宋" w:cs="Times New Roman"/>
          <w:sz w:val="30"/>
          <w:szCs w:val="30"/>
        </w:rPr>
      </w:pPr>
      <w:r>
        <w:rPr>
          <w:rFonts w:hint="eastAsia" w:ascii="Times New Roman" w:hAnsi="Times New Roman" w:eastAsia="华文仿宋" w:cs="Times New Roman"/>
          <w:sz w:val="30"/>
          <w:szCs w:val="30"/>
        </w:rPr>
        <w:t>14.《辽宁省关于开展养殖水域滩涂规划编制工作的通知》（辽海渔业字</w:t>
      </w:r>
      <w:r>
        <w:rPr>
          <w:rFonts w:ascii="Times New Roman" w:hAnsi="Times New Roman" w:eastAsia="华文仿宋" w:cs="Times New Roman"/>
          <w:sz w:val="30"/>
          <w:szCs w:val="30"/>
        </w:rPr>
        <w:t>[2017]86</w:t>
      </w:r>
      <w:r>
        <w:rPr>
          <w:rFonts w:hint="eastAsia" w:ascii="Times New Roman" w:hAnsi="Times New Roman" w:eastAsia="华文仿宋" w:cs="Times New Roman"/>
          <w:sz w:val="30"/>
          <w:szCs w:val="30"/>
        </w:rPr>
        <w:t>号）</w:t>
      </w:r>
    </w:p>
    <w:p>
      <w:pPr>
        <w:ind w:firstLine="450" w:firstLineChars="150"/>
        <w:rPr>
          <w:rFonts w:ascii="Times New Roman" w:hAnsi="Times New Roman" w:eastAsia="华文仿宋" w:cs="Times New Roman"/>
          <w:sz w:val="30"/>
          <w:szCs w:val="30"/>
        </w:rPr>
      </w:pPr>
      <w:r>
        <w:rPr>
          <w:rFonts w:hint="eastAsia" w:ascii="Times New Roman" w:hAnsi="Times New Roman" w:eastAsia="华文仿宋" w:cs="Times New Roman"/>
          <w:sz w:val="30"/>
          <w:szCs w:val="30"/>
        </w:rPr>
        <w:t>15.《大连市关于开展养殖水域滩涂规划编制工作的通知》（大海渔养字[2017]114号）</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w:t>
      </w:r>
      <w:r>
        <w:rPr>
          <w:rFonts w:hint="eastAsia" w:ascii="Times New Roman" w:hAnsi="Times New Roman" w:eastAsia="华文仿宋" w:cs="Times New Roman"/>
          <w:sz w:val="30"/>
          <w:szCs w:val="30"/>
        </w:rPr>
        <w:t>6</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《大连市</w:t>
      </w:r>
      <w:r>
        <w:rPr>
          <w:rFonts w:ascii="Times New Roman" w:hAnsi="Times New Roman" w:eastAsia="华文仿宋" w:cs="Times New Roman"/>
          <w:sz w:val="30"/>
          <w:szCs w:val="30"/>
        </w:rPr>
        <w:t>现代海洋牧场建设规划</w:t>
      </w:r>
      <w:r>
        <w:rPr>
          <w:rFonts w:hint="eastAsia" w:ascii="Times New Roman" w:hAnsi="Times New Roman" w:eastAsia="华文仿宋" w:cs="Times New Roman"/>
          <w:sz w:val="30"/>
          <w:szCs w:val="30"/>
        </w:rPr>
        <w:t>（2016</w:t>
      </w:r>
      <w:r>
        <w:rPr>
          <w:rFonts w:ascii="Times New Roman" w:hAnsi="Times New Roman" w:eastAsia="华文仿宋" w:cs="Times New Roman"/>
          <w:sz w:val="30"/>
          <w:szCs w:val="30"/>
        </w:rPr>
        <w:t>~2020</w:t>
      </w:r>
      <w:r>
        <w:rPr>
          <w:rFonts w:hint="eastAsia" w:ascii="Times New Roman" w:hAnsi="Times New Roman" w:eastAsia="华文仿宋" w:cs="Times New Roman"/>
          <w:sz w:val="30"/>
          <w:szCs w:val="30"/>
        </w:rPr>
        <w:t>）》</w:t>
      </w:r>
    </w:p>
    <w:p>
      <w:pPr>
        <w:ind w:firstLine="450" w:firstLineChars="150"/>
        <w:rPr>
          <w:rFonts w:ascii="Times New Roman" w:hAnsi="Times New Roman" w:eastAsia="华文仿宋" w:cs="Times New Roman"/>
          <w:sz w:val="30"/>
          <w:szCs w:val="30"/>
        </w:rPr>
      </w:pPr>
      <w:r>
        <w:rPr>
          <w:rFonts w:hint="eastAsia" w:ascii="Times New Roman" w:hAnsi="Times New Roman" w:eastAsia="华文仿宋" w:cs="Times New Roman"/>
          <w:sz w:val="30"/>
          <w:szCs w:val="30"/>
        </w:rPr>
        <w:t>17.《大连市</w:t>
      </w:r>
      <w:r>
        <w:rPr>
          <w:rFonts w:ascii="Times New Roman" w:hAnsi="Times New Roman" w:eastAsia="华文仿宋" w:cs="Times New Roman"/>
          <w:sz w:val="30"/>
          <w:szCs w:val="30"/>
        </w:rPr>
        <w:t>养殖用海规划</w:t>
      </w:r>
      <w:r>
        <w:rPr>
          <w:rFonts w:hint="eastAsia" w:ascii="Times New Roman" w:hAnsi="Times New Roman" w:eastAsia="华文仿宋" w:cs="Times New Roman"/>
          <w:sz w:val="30"/>
          <w:szCs w:val="30"/>
        </w:rPr>
        <w:t>（2015</w:t>
      </w:r>
      <w:r>
        <w:rPr>
          <w:rFonts w:ascii="Times New Roman" w:hAnsi="Times New Roman" w:eastAsia="华文仿宋" w:cs="Times New Roman"/>
          <w:sz w:val="30"/>
          <w:szCs w:val="30"/>
        </w:rPr>
        <w:t>~2020</w:t>
      </w:r>
      <w:r>
        <w:rPr>
          <w:rFonts w:hint="eastAsia" w:ascii="Times New Roman" w:hAnsi="Times New Roman" w:eastAsia="华文仿宋" w:cs="Times New Roman"/>
          <w:sz w:val="30"/>
          <w:szCs w:val="30"/>
        </w:rPr>
        <w:t>）》</w:t>
      </w:r>
    </w:p>
    <w:p>
      <w:pPr>
        <w:pStyle w:val="3"/>
        <w:adjustRightInd w:val="0"/>
        <w:snapToGrid w:val="0"/>
        <w:spacing w:beforeLines="50" w:afterLines="50" w:line="360" w:lineRule="auto"/>
        <w:jc w:val="center"/>
        <w:rPr>
          <w:rFonts w:ascii="Times New Roman" w:hAnsi="Times New Roman"/>
          <w:b w:val="0"/>
          <w:sz w:val="30"/>
          <w:szCs w:val="30"/>
        </w:rPr>
      </w:pPr>
      <w:bookmarkStart w:id="3" w:name="_Toc529634086"/>
      <w:r>
        <w:rPr>
          <w:rFonts w:ascii="Times New Roman" w:hAnsi="Times New Roman"/>
          <w:b w:val="0"/>
          <w:sz w:val="30"/>
          <w:szCs w:val="30"/>
        </w:rPr>
        <w:t>第三节  目标任务</w:t>
      </w:r>
      <w:bookmarkEnd w:id="3"/>
    </w:p>
    <w:p>
      <w:pPr>
        <w:ind w:firstLine="602" w:firstLineChars="200"/>
        <w:outlineLvl w:val="0"/>
        <w:rPr>
          <w:rFonts w:ascii="Times New Roman" w:hAnsi="Times New Roman" w:eastAsia="华文仿宋" w:cs="Times New Roman"/>
          <w:b/>
          <w:sz w:val="30"/>
          <w:szCs w:val="30"/>
        </w:rPr>
      </w:pPr>
      <w:bookmarkStart w:id="4" w:name="_Toc529634087"/>
      <w:r>
        <w:rPr>
          <w:rFonts w:ascii="Times New Roman" w:hAnsi="Times New Roman" w:eastAsia="华文仿宋" w:cs="Times New Roman"/>
          <w:b/>
          <w:sz w:val="30"/>
          <w:szCs w:val="30"/>
        </w:rPr>
        <w:t>第一条  规划期限</w:t>
      </w:r>
      <w:bookmarkEnd w:id="4"/>
    </w:p>
    <w:p>
      <w:pPr>
        <w:ind w:firstLine="570"/>
        <w:rPr>
          <w:rFonts w:ascii="Times New Roman" w:hAnsi="Times New Roman" w:eastAsia="华文仿宋" w:cs="Times New Roman"/>
          <w:sz w:val="30"/>
          <w:szCs w:val="30"/>
        </w:rPr>
      </w:pPr>
      <w:r>
        <w:rPr>
          <w:rFonts w:ascii="Times New Roman" w:hAnsi="Times New Roman" w:eastAsia="华文仿宋" w:cs="Times New Roman"/>
          <w:sz w:val="30"/>
          <w:szCs w:val="30"/>
        </w:rPr>
        <w:t>规划基准年为2017年，规划期限为2018-2030年。</w:t>
      </w:r>
    </w:p>
    <w:p>
      <w:pPr>
        <w:ind w:firstLine="602" w:firstLineChars="200"/>
        <w:outlineLvl w:val="0"/>
        <w:rPr>
          <w:rFonts w:ascii="Times New Roman" w:hAnsi="Times New Roman" w:eastAsia="华文仿宋" w:cs="Times New Roman"/>
          <w:b/>
          <w:sz w:val="30"/>
          <w:szCs w:val="30"/>
        </w:rPr>
      </w:pPr>
      <w:bookmarkStart w:id="5" w:name="_Toc529634088"/>
      <w:r>
        <w:rPr>
          <w:rFonts w:ascii="Times New Roman" w:hAnsi="Times New Roman" w:eastAsia="华文仿宋" w:cs="Times New Roman"/>
          <w:b/>
          <w:sz w:val="30"/>
          <w:szCs w:val="30"/>
        </w:rPr>
        <w:t>第二条  规划目标</w:t>
      </w:r>
      <w:bookmarkEnd w:id="5"/>
    </w:p>
    <w:p>
      <w:pPr>
        <w:pStyle w:val="6"/>
        <w:spacing w:line="360" w:lineRule="auto"/>
        <w:ind w:firstLine="600" w:firstLineChars="200"/>
        <w:rPr>
          <w:rFonts w:eastAsia="华文仿宋"/>
          <w:sz w:val="30"/>
          <w:szCs w:val="30"/>
        </w:rPr>
      </w:pPr>
      <w:r>
        <w:rPr>
          <w:rFonts w:eastAsia="华文仿宋"/>
          <w:sz w:val="30"/>
          <w:szCs w:val="30"/>
        </w:rPr>
        <w:t>科学合理规划庄河市水域滩涂资源，明确庄河市养殖水域滩涂功能区域范围，依法保护重要养殖水域滩涂，进一步健全养殖业管理制度，推广生态健康养殖模式，保护和改善养殖水域生态环境。在尊重水域滩涂自然属性的基础上，结合社会需求，在科学、生态、集约、节约和规范的原则下，高效合理的利用有限的水域养殖资源，为庄河市海洋渔业经济服务。</w:t>
      </w:r>
    </w:p>
    <w:p>
      <w:pPr>
        <w:ind w:firstLine="602" w:firstLineChars="200"/>
        <w:outlineLvl w:val="0"/>
        <w:rPr>
          <w:rFonts w:ascii="Times New Roman" w:hAnsi="Times New Roman" w:eastAsia="华文仿宋" w:cs="Times New Roman"/>
          <w:b/>
          <w:sz w:val="30"/>
          <w:szCs w:val="30"/>
        </w:rPr>
      </w:pPr>
      <w:bookmarkStart w:id="6" w:name="_Toc529634089"/>
      <w:r>
        <w:rPr>
          <w:rFonts w:ascii="Times New Roman" w:hAnsi="Times New Roman" w:eastAsia="华文仿宋" w:cs="Times New Roman"/>
          <w:b/>
          <w:sz w:val="30"/>
          <w:szCs w:val="30"/>
        </w:rPr>
        <w:t>第三条  重点任务</w:t>
      </w:r>
      <w:bookmarkEnd w:id="6"/>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1.明确养殖水域、滩涂功能区域范围，指导养殖生产布局。</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2.合理规划水域、滩涂养殖生产布局，促进养殖业可持续发展。</w:t>
      </w:r>
    </w:p>
    <w:p>
      <w:pPr>
        <w:ind w:firstLine="450" w:firstLineChars="150"/>
        <w:rPr>
          <w:rFonts w:ascii="Times New Roman" w:hAnsi="Times New Roman" w:eastAsia="华文仿宋" w:cs="Times New Roman"/>
          <w:sz w:val="30"/>
          <w:szCs w:val="30"/>
        </w:rPr>
      </w:pPr>
      <w:r>
        <w:rPr>
          <w:rFonts w:ascii="Times New Roman" w:hAnsi="Times New Roman" w:eastAsia="华文仿宋" w:cs="Times New Roman"/>
          <w:sz w:val="30"/>
          <w:szCs w:val="30"/>
        </w:rPr>
        <w:t>3.完善水产养殖管理制度，有效保障养殖者合法权益，依法保护重要养殖水域和资源。</w:t>
      </w:r>
    </w:p>
    <w:p>
      <w:pPr>
        <w:ind w:firstLine="450" w:firstLineChars="150"/>
        <w:rPr>
          <w:rFonts w:ascii="Times New Roman" w:hAnsi="Times New Roman" w:eastAsia="仿宋_GB2312" w:cs="Times New Roman"/>
          <w:sz w:val="30"/>
          <w:szCs w:val="30"/>
        </w:rPr>
      </w:pPr>
      <w:r>
        <w:rPr>
          <w:rFonts w:ascii="Times New Roman" w:hAnsi="Times New Roman" w:eastAsia="华文仿宋" w:cs="Times New Roman"/>
          <w:sz w:val="30"/>
          <w:szCs w:val="30"/>
        </w:rPr>
        <w:t>4.控制养殖规模，推广健康生态养殖模式，保护水域生态环境。</w:t>
      </w:r>
    </w:p>
    <w:p>
      <w:pPr>
        <w:pStyle w:val="3"/>
        <w:adjustRightInd w:val="0"/>
        <w:snapToGrid w:val="0"/>
        <w:spacing w:beforeLines="50" w:afterLines="50" w:line="360" w:lineRule="auto"/>
        <w:jc w:val="center"/>
        <w:rPr>
          <w:rFonts w:ascii="Times New Roman" w:hAnsi="Times New Roman"/>
          <w:b w:val="0"/>
          <w:sz w:val="30"/>
          <w:szCs w:val="30"/>
        </w:rPr>
      </w:pPr>
      <w:bookmarkStart w:id="7" w:name="_Toc529634090"/>
      <w:r>
        <w:rPr>
          <w:rFonts w:ascii="Times New Roman" w:hAnsi="Times New Roman"/>
          <w:b w:val="0"/>
          <w:sz w:val="30"/>
          <w:szCs w:val="30"/>
        </w:rPr>
        <w:t>第四节  基本原则</w:t>
      </w:r>
      <w:bookmarkEnd w:id="7"/>
    </w:p>
    <w:p>
      <w:pPr>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第一条  依法规划，规范施策</w:t>
      </w:r>
    </w:p>
    <w:p>
      <w:pPr>
        <w:ind w:firstLine="570"/>
        <w:rPr>
          <w:rFonts w:ascii="Times New Roman" w:hAnsi="Times New Roman" w:eastAsia="华文仿宋" w:cs="Times New Roman"/>
          <w:sz w:val="30"/>
          <w:szCs w:val="30"/>
        </w:rPr>
      </w:pPr>
      <w:r>
        <w:rPr>
          <w:rFonts w:ascii="Times New Roman" w:hAnsi="Times New Roman" w:eastAsia="华文仿宋" w:cs="Times New Roman"/>
          <w:sz w:val="30"/>
          <w:szCs w:val="30"/>
        </w:rPr>
        <w:t>按照《渔业法》、《海洋环境保护法》等法律法规，以及《辽宁省海洋主体功能区规划》等相关文件要求，贯彻“节约资源、保护环境”的基本国策，以优化生态环境、养护增殖渔业资源、合理开发利用水域滩涂、保障渔业可持续发展为目标，依法科学划定养殖区、限制养殖区和禁止养殖区，合理布局水产养殖生产，实现养殖水域滩涂利用和管理的规范化、制度化。</w:t>
      </w:r>
    </w:p>
    <w:p>
      <w:pPr>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第二条  统筹布局，转调结合</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坚持集中集约适度开发，多种机制确保经济效益、社会效益、生态效益协同发展，统筹布局，加快推进水产养殖业转方式调结构。稳定海水池塘和工厂化养殖，调减过密近海网箱养殖，发展外海深水网箱养殖；稳定淡水池塘养殖，调减湖泊水库网箱围栏养殖，发展生态养殖，支持设施养殖向工厂化循环水方向发展，实现养殖水域滩涂的整体规划、合理储备、有序利用、协调发展。</w:t>
      </w:r>
    </w:p>
    <w:p>
      <w:pPr>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第三条  突出重点，循序渐进</w:t>
      </w:r>
    </w:p>
    <w:p>
      <w:pPr>
        <w:ind w:firstLine="570"/>
        <w:rPr>
          <w:rFonts w:ascii="Times New Roman" w:hAnsi="Times New Roman" w:eastAsia="华文仿宋" w:cs="Times New Roman"/>
          <w:sz w:val="30"/>
          <w:szCs w:val="30"/>
        </w:rPr>
      </w:pPr>
      <w:r>
        <w:rPr>
          <w:rFonts w:ascii="Times New Roman" w:hAnsi="Times New Roman" w:eastAsia="华文仿宋" w:cs="Times New Roman"/>
          <w:sz w:val="30"/>
          <w:szCs w:val="30"/>
        </w:rPr>
        <w:t>充分考虑规划区域的自然、经济、社会、技术等条件和特点以及外部因素的影响，因地制宜进行养殖布局，突出重点，优先发展竞争优势明显并具有一定基础和潜力的养殖产品和产区。在充分调研的基础上，根据现代水产养殖发展的要求，尊重养殖户的生产自主权和经营决策权。积极引导，循序渐进，分步骤、分阶段实施规划。</w:t>
      </w:r>
    </w:p>
    <w:p>
      <w:pPr>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第四条  生态优先，底线约束</w:t>
      </w:r>
    </w:p>
    <w:p>
      <w:pPr>
        <w:pStyle w:val="6"/>
        <w:spacing w:line="360" w:lineRule="auto"/>
        <w:ind w:firstLine="600" w:firstLineChars="200"/>
        <w:rPr>
          <w:rFonts w:eastAsia="华文仿宋"/>
          <w:sz w:val="30"/>
          <w:szCs w:val="30"/>
        </w:rPr>
      </w:pPr>
      <w:r>
        <w:rPr>
          <w:rFonts w:eastAsia="华文仿宋"/>
          <w:sz w:val="30"/>
          <w:szCs w:val="30"/>
        </w:rPr>
        <w:t>坚持适时适度开发养殖水域、滩涂，处理好资源开发利用与生态环境保护的关系。根据资源分布状况将水产资源丰富的水域滩涂确定为养殖发展重要水域，在生态保护的基础上进行开发，以开发促保护，实现协调、可持续发展。将饮用水水源地、自然保护区等重要生态保护或公共安全“红线”和“黄线”区域作为禁止或限制养殖区，设定发展底线。</w:t>
      </w:r>
    </w:p>
    <w:p>
      <w:pPr>
        <w:pStyle w:val="3"/>
        <w:spacing w:before="0" w:after="0" w:line="240" w:lineRule="auto"/>
        <w:jc w:val="center"/>
        <w:rPr>
          <w:rFonts w:ascii="Times New Roman" w:hAnsi="Times New Roman"/>
          <w:b w:val="0"/>
          <w:sz w:val="30"/>
          <w:szCs w:val="30"/>
        </w:rPr>
      </w:pPr>
      <w:bookmarkStart w:id="8" w:name="_Toc529634091"/>
      <w:r>
        <w:rPr>
          <w:rFonts w:ascii="Times New Roman" w:hAnsi="Times New Roman"/>
          <w:b w:val="0"/>
          <w:sz w:val="30"/>
          <w:szCs w:val="30"/>
        </w:rPr>
        <w:t>第五节  规划范围</w:t>
      </w:r>
      <w:bookmarkEnd w:id="8"/>
    </w:p>
    <w:p>
      <w:pPr>
        <w:ind w:firstLine="570"/>
        <w:rPr>
          <w:rFonts w:ascii="Times New Roman" w:hAnsi="Times New Roman" w:eastAsia="华文仿宋" w:cs="Times New Roman"/>
          <w:sz w:val="30"/>
          <w:szCs w:val="30"/>
        </w:rPr>
      </w:pPr>
      <w:r>
        <w:rPr>
          <w:rFonts w:ascii="Times New Roman" w:hAnsi="Times New Roman" w:eastAsia="华文仿宋" w:cs="Times New Roman"/>
          <w:sz w:val="30"/>
          <w:szCs w:val="30"/>
        </w:rPr>
        <w:t>规划养殖范围：西起碧流河口庄河市与普兰店市的海域分界线，东至庄河市与东港市的海域分界线，北至盖州市、岫岩满族自治县陆域分界线，南至庄河市与长海县的海域分界线，距海岸线约35</w:t>
      </w:r>
      <w:r>
        <w:rPr>
          <w:rFonts w:hint="eastAsia" w:ascii="Times New Roman" w:hAnsi="Times New Roman" w:eastAsia="华文仿宋" w:cs="Times New Roman"/>
          <w:sz w:val="30"/>
          <w:szCs w:val="30"/>
        </w:rPr>
        <w:t>千米</w:t>
      </w:r>
      <w:r>
        <w:rPr>
          <w:rFonts w:ascii="Times New Roman" w:hAnsi="Times New Roman" w:eastAsia="华文仿宋" w:cs="Times New Roman"/>
          <w:sz w:val="30"/>
          <w:szCs w:val="30"/>
        </w:rPr>
        <w:t>，等深线-50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以内。规划中的养殖水域滩涂指庄河市行政管辖区内已经进行水产养殖开发利用和目前尚未开发但适于水产养殖开发利用的所有（全民、集体）水域和滩涂。</w:t>
      </w:r>
    </w:p>
    <w:p>
      <w:pPr>
        <w:pStyle w:val="2"/>
        <w:spacing w:line="360" w:lineRule="auto"/>
        <w:jc w:val="center"/>
        <w:rPr>
          <w:rFonts w:ascii="Times New Roman" w:hAnsi="Times New Roman" w:eastAsia="黑体" w:cs="Times New Roman"/>
          <w:b w:val="0"/>
          <w:sz w:val="32"/>
        </w:rPr>
      </w:pPr>
      <w:bookmarkStart w:id="9" w:name="_Toc529634092"/>
      <w:r>
        <w:rPr>
          <w:rFonts w:ascii="Times New Roman" w:hAnsi="Times New Roman" w:eastAsia="黑体" w:cs="Times New Roman"/>
          <w:b w:val="0"/>
          <w:sz w:val="32"/>
        </w:rPr>
        <w:t>第二章  养殖水域滩涂利用评价</w:t>
      </w:r>
      <w:bookmarkEnd w:id="9"/>
    </w:p>
    <w:p>
      <w:pPr>
        <w:pStyle w:val="3"/>
        <w:adjustRightInd w:val="0"/>
        <w:snapToGrid w:val="0"/>
        <w:spacing w:beforeLines="50" w:afterLines="50" w:line="360" w:lineRule="auto"/>
        <w:jc w:val="center"/>
        <w:rPr>
          <w:rFonts w:ascii="Times New Roman" w:hAnsi="Times New Roman"/>
          <w:b w:val="0"/>
          <w:sz w:val="30"/>
          <w:szCs w:val="30"/>
        </w:rPr>
      </w:pPr>
      <w:bookmarkStart w:id="10" w:name="_Toc529634093"/>
      <w:r>
        <w:rPr>
          <w:rFonts w:ascii="Times New Roman" w:hAnsi="Times New Roman"/>
          <w:b w:val="0"/>
          <w:sz w:val="30"/>
          <w:szCs w:val="30"/>
        </w:rPr>
        <w:t>第六节  水域滩涂承载力分析</w:t>
      </w:r>
      <w:bookmarkEnd w:id="10"/>
    </w:p>
    <w:p>
      <w:pPr>
        <w:pStyle w:val="24"/>
        <w:ind w:left="1" w:firstLine="601"/>
        <w:rPr>
          <w:rFonts w:ascii="Times New Roman" w:hAnsi="Times New Roman" w:eastAsia="华文仿宋" w:cs="Times New Roman"/>
          <w:b/>
          <w:sz w:val="30"/>
          <w:szCs w:val="30"/>
        </w:rPr>
      </w:pPr>
      <w:r>
        <w:rPr>
          <w:rFonts w:ascii="Times New Roman" w:hAnsi="Times New Roman" w:eastAsia="华文仿宋" w:cs="Times New Roman"/>
          <w:b/>
          <w:sz w:val="30"/>
          <w:szCs w:val="30"/>
        </w:rPr>
        <w:t>第一条  水域滩涂资源状况</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1.地理位置</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位于辽东半岛东南部、大连市东北部，为大连市所辖北三市之一，地理坐标为东经122°29′~123°31′，北纬39°14′~40°12′。庄河市所辖海域处大连东部的黄海海域，东与丹东东港市接壤,西以碧流河为界与普兰店市为邻,北依群山与盖州市、岫岩满族自治县相连，南濒黄海与长海县隔海相望，地理条件优越，海洋资源丰富。</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2.地质</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调查区大地构造单位属中朝准地台的胶辽隆起带，亦即新华夏第二隆起带与天山——阴山东西向构造带东延的复合部位。北黄海为辽东隆起向海自然延伸部分。其基底主要由前震旦纪和震旦纪变质岩组成。自太古代鞍山运动以来形成东西向复杂褶皱，以鞍山群城子坦组地层为骨架形成原始陆核；下元古代时接受沉积形成辽河群地层；燕山运动时发生大规模褶皱、断裂和大面积岩浆侵入，并奠定了辽东沿岸古地貌格局；第四纪以来，受老构造格局的制约而表现为差异性抬升，长期以来在内、外力作用下，形成低缓的剥蚀——侵蚀低丘及微波起伏的绵延开阔的剥蚀平原（台地），在丘间形成带状冲积平原及冲洪积谷地、坡洪积扇裙等。</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地层为残坡积，主要分布在剥蚀台地、侵蚀-剥蚀高丘、剥蚀低丘岗顶平坦与凹下部分，坡麓地带也有分布。岩性主要为黄灰、灰褐色。黄灰-灰褐色。棕黄-棕红色碎石混亚砂土、砂碎石，含碎石亚砂土、亚粘土、亚粘土混碎石，亚粘土，粘土。自上而下逐渐过渡，上部土中多含碎石，下部碎土石中多含土，碎石成分与基岩相关，厚度0.4~5</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w:t>
      </w:r>
    </w:p>
    <w:p>
      <w:pPr>
        <w:pStyle w:val="24"/>
        <w:ind w:left="1" w:firstLine="600"/>
        <w:rPr>
          <w:rFonts w:ascii="Times New Roman" w:hAnsi="Times New Roman" w:eastAsia="华文仿宋" w:cs="Times New Roman"/>
          <w:sz w:val="30"/>
          <w:szCs w:val="30"/>
        </w:rPr>
      </w:pPr>
      <w:bookmarkStart w:id="11" w:name="_Toc483246583"/>
      <w:r>
        <w:rPr>
          <w:rFonts w:ascii="Times New Roman" w:hAnsi="Times New Roman" w:eastAsia="华文仿宋" w:cs="Times New Roman"/>
          <w:sz w:val="30"/>
          <w:szCs w:val="30"/>
        </w:rPr>
        <w:t>3.地貌</w:t>
      </w:r>
      <w:bookmarkEnd w:id="11"/>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庄河属辽东半岛东南部庄河海岸丘陵地区，其地势北高南低，期间地形呈层排列，逐次降低。该区从陆地向海洋可分为陆地地貌、海岸与潮间带地貌、海底地貌和海岛。</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（1）陆地地貌</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按照形态成因原则，可分为构造剥蚀型的侵蚀-剥蚀高丘、剥蚀低丘；剥蚀型的剥蚀平原（台地）；剥蚀-堆积型的坡洪积扇裙、冲洪积谷地；堆积型的冲积平原、冲海积平原和海积平原。</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（2）海岸与潮间带地貌</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庄河海岸主要有淤泥质、基岩型海岸。由于受</w:t>
      </w:r>
      <w:r>
        <w:rPr>
          <w:rFonts w:hint="eastAsia" w:ascii="Times New Roman" w:hAnsi="Times New Roman" w:eastAsia="华文仿宋" w:cs="Times New Roman"/>
          <w:sz w:val="30"/>
          <w:szCs w:val="30"/>
        </w:rPr>
        <w:t>东北</w:t>
      </w:r>
      <w:r>
        <w:rPr>
          <w:rFonts w:ascii="Times New Roman" w:hAnsi="Times New Roman" w:eastAsia="华文仿宋" w:cs="Times New Roman"/>
          <w:sz w:val="30"/>
          <w:szCs w:val="30"/>
        </w:rPr>
        <w:t>和</w:t>
      </w:r>
      <w:r>
        <w:rPr>
          <w:rFonts w:hint="eastAsia" w:ascii="Times New Roman" w:hAnsi="Times New Roman" w:eastAsia="华文仿宋" w:cs="Times New Roman"/>
          <w:sz w:val="30"/>
          <w:szCs w:val="30"/>
        </w:rPr>
        <w:t>西南</w:t>
      </w:r>
      <w:r>
        <w:rPr>
          <w:rFonts w:ascii="Times New Roman" w:hAnsi="Times New Roman" w:eastAsia="华文仿宋" w:cs="Times New Roman"/>
          <w:sz w:val="30"/>
          <w:szCs w:val="30"/>
        </w:rPr>
        <w:t>两组断裂系控制，岸线呈</w:t>
      </w:r>
      <w:r>
        <w:rPr>
          <w:rFonts w:hint="eastAsia" w:ascii="Times New Roman" w:hAnsi="Times New Roman" w:eastAsia="华文仿宋" w:cs="Times New Roman"/>
          <w:sz w:val="30"/>
          <w:szCs w:val="30"/>
        </w:rPr>
        <w:t>东北</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西南</w:t>
      </w:r>
      <w:r>
        <w:rPr>
          <w:rFonts w:ascii="Times New Roman" w:hAnsi="Times New Roman" w:eastAsia="华文仿宋" w:cs="Times New Roman"/>
          <w:sz w:val="30"/>
          <w:szCs w:val="30"/>
        </w:rPr>
        <w:t>向，沿岸有突出的岬角、凹入的海湾及岛屿，并分布海蚀崖、岩脊滩以及多级海岸阶地等地貌形态。岬湾相间，岸线曲折是区内岸线的主要特征。</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潮间带地貌，潮间带作为海陆结合部，具有海洋与陆地的某些共同特征。庄河地区潮间浅滩作沿岸分布，宽2000~3000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，海湾处最宽达4000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，滩面坡度为1.27‰。潮滩地址、微地貌、生物组合等潮滩横向分带性明显。目前潮滩普遍处于滩面加积岸线推进的趋势。</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（3）海底地貌</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海底地貌类型主要有水下浅滩和浅海堆积平原。0~10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等深线的范围内宽10</w:t>
      </w:r>
      <w:r>
        <w:rPr>
          <w:rFonts w:hint="eastAsia" w:ascii="Times New Roman" w:hAnsi="Times New Roman" w:eastAsia="华文仿宋" w:cs="Times New Roman"/>
          <w:sz w:val="30"/>
          <w:szCs w:val="30"/>
        </w:rPr>
        <w:t>千米</w:t>
      </w:r>
      <w:r>
        <w:rPr>
          <w:rFonts w:ascii="Times New Roman" w:hAnsi="Times New Roman" w:eastAsia="华文仿宋" w:cs="Times New Roman"/>
          <w:sz w:val="30"/>
          <w:szCs w:val="30"/>
        </w:rPr>
        <w:t>，地势平坦，形态单调，平均坡度2′52″。底质主要由粘土质粉砂组成。浅海堆积平原，水深10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以深的海域为水下堆积平原，海底表面平坦，坡度小于2′。</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4.水域滩涂资源</w:t>
      </w:r>
    </w:p>
    <w:p>
      <w:pPr>
        <w:pStyle w:val="24"/>
        <w:ind w:left="1" w:firstLine="566" w:firstLineChars="0"/>
        <w:rPr>
          <w:rFonts w:ascii="Times New Roman" w:hAnsi="Times New Roman" w:eastAsia="华文仿宋" w:cs="Times New Roman"/>
          <w:sz w:val="30"/>
          <w:szCs w:val="30"/>
        </w:rPr>
      </w:pPr>
      <w:r>
        <w:rPr>
          <w:rFonts w:ascii="Times New Roman" w:hAnsi="Times New Roman" w:eastAsia="华文仿宋" w:cs="Times New Roman"/>
          <w:sz w:val="30"/>
          <w:szCs w:val="30"/>
        </w:rPr>
        <w:t>庄河市海域水质肥沃，初级生产力较高，海洋生物资源丰富，是海洋渔业资源重要的产卵场、索饵场、越冬场和洄游通道。根据相关资料和成果统计，庄河市海域分布有渔业资源种类94种，其中具有经济价值种类43种，包括小黄鱼、蓝点马鲛、日本鲭、斑鰶、黄鲫、黄鮟鱇、长绵鳚、鲆鲽类、许氏平鲉、大泷六线鱼、中国明对虾、鹰爪虾、口虾蛄、日本蟳、三疣梭子蟹、火枪乌贼、长、短蛸、毛蚶、魁蚶、菲律宾蛤仔、中华马珂蛤、方形马珂蛤、长牡蛎、脉红螺等。近5年来，该区域生物资源的优势地位较为稳定的物种有15种，其中长绵鳚、大泷六线鱼、斑纹狮子鱼、脊腹褐虾、黄鮟鱇、火枪乌贼等在各季优势种中出现频率较高。优势种中日本鲭、许氏平鲉、口虾蛄、长、短蛸等分布密度较大；小黄鱼、长绵鳚、大泷六线鱼、石鲽、三疣梭子蟹、火枪乌贼等分布密度处于中等水平；木叶鲽、鹰爪虾分布密度较小。</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5.养殖面积数量</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5.1海水养殖</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2016年，庄河市海水养殖面积为6.18万公顷，养殖总产量为49.1万</w:t>
      </w:r>
      <w:r>
        <w:rPr>
          <w:rFonts w:hint="eastAsia" w:ascii="Times New Roman" w:hAnsi="Times New Roman" w:eastAsia="华文仿宋" w:cs="Times New Roman"/>
          <w:sz w:val="30"/>
          <w:szCs w:val="30"/>
        </w:rPr>
        <w:t>顿</w:t>
      </w:r>
      <w:r>
        <w:rPr>
          <w:rFonts w:ascii="Times New Roman" w:hAnsi="Times New Roman" w:eastAsia="华文仿宋" w:cs="Times New Roman"/>
          <w:sz w:val="30"/>
          <w:szCs w:val="30"/>
        </w:rPr>
        <w:t>。海水养殖方式包括滩涂养殖、池塘养殖、深水网箱、筏式养殖和底播养殖，底播养殖面积最大，为28962公顷；其次是池塘养殖面积，为14878公顷；筏式养殖面积为7126公顷。</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5.2淡水养殖</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庄河市淡水养殖主要为淡水池塘养殖和水库养殖方式。其中池塘养殖面积85公顷，水库养殖面积579公顷。</w:t>
      </w:r>
    </w:p>
    <w:p>
      <w:pPr>
        <w:pStyle w:val="24"/>
        <w:ind w:left="1" w:firstLine="601"/>
        <w:rPr>
          <w:rFonts w:ascii="Times New Roman" w:hAnsi="Times New Roman" w:eastAsia="华文仿宋" w:cs="Times New Roman"/>
          <w:b/>
          <w:sz w:val="30"/>
          <w:szCs w:val="30"/>
        </w:rPr>
      </w:pPr>
      <w:r>
        <w:rPr>
          <w:rFonts w:ascii="Times New Roman" w:hAnsi="Times New Roman" w:eastAsia="华文仿宋" w:cs="Times New Roman"/>
          <w:b/>
          <w:sz w:val="30"/>
          <w:szCs w:val="30"/>
        </w:rPr>
        <w:t>第二条 自然气候条件</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1.气候特征</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属于北温带湿润大陆性季风气候。由于受黄海影响，又兼有海洋气候特点，四季分明，雨热同季。春季气温低，回升慢，春风大，蒸发快；夏季雨量集中，气温高；秋季气温偏高，下降缓慢；冬季雨雪稀少，当寒潮侵袭时出现短时间严寒天气。</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2.水文特征</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2.1淡水资源</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庄河境内有</w:t>
      </w:r>
      <w:r>
        <w:fldChar w:fldCharType="begin"/>
      </w:r>
      <w:r>
        <w:instrText xml:space="preserve"> HYPERLINK "https://baike.baidu.com/item/%E8%8B%B1%E9%82%A3%E6%B2%B3" \t "_blank" </w:instrText>
      </w:r>
      <w:r>
        <w:fldChar w:fldCharType="separate"/>
      </w:r>
      <w:r>
        <w:rPr>
          <w:rFonts w:ascii="Times New Roman" w:hAnsi="Times New Roman" w:eastAsia="华文仿宋" w:cs="Times New Roman"/>
          <w:sz w:val="30"/>
          <w:szCs w:val="30"/>
        </w:rPr>
        <w:t>英那河</w:t>
      </w:r>
      <w:r>
        <w:rPr>
          <w:rFonts w:ascii="Times New Roman" w:hAnsi="Times New Roman" w:eastAsia="华文仿宋" w:cs="Times New Roman"/>
          <w:sz w:val="30"/>
          <w:szCs w:val="30"/>
        </w:rPr>
        <w:fldChar w:fldCharType="end"/>
      </w:r>
      <w:r>
        <w:rPr>
          <w:rFonts w:ascii="Times New Roman" w:hAnsi="Times New Roman" w:eastAsia="华文仿宋" w:cs="Times New Roman"/>
          <w:sz w:val="30"/>
          <w:szCs w:val="30"/>
        </w:rPr>
        <w:t>、庄河、</w:t>
      </w:r>
      <w:r>
        <w:fldChar w:fldCharType="begin"/>
      </w:r>
      <w:r>
        <w:instrText xml:space="preserve"> HYPERLINK "https://baike.baidu.com/item/%E6%B9%96%E9%87%8C%E6%B2%B3" \t "_blank" </w:instrText>
      </w:r>
      <w:r>
        <w:fldChar w:fldCharType="separate"/>
      </w:r>
      <w:r>
        <w:rPr>
          <w:rFonts w:ascii="Times New Roman" w:hAnsi="Times New Roman" w:eastAsia="华文仿宋" w:cs="Times New Roman"/>
          <w:sz w:val="30"/>
          <w:szCs w:val="30"/>
        </w:rPr>
        <w:t>湖里河</w:t>
      </w:r>
      <w:r>
        <w:rPr>
          <w:rFonts w:ascii="Times New Roman" w:hAnsi="Times New Roman" w:eastAsia="华文仿宋" w:cs="Times New Roman"/>
          <w:sz w:val="30"/>
          <w:szCs w:val="30"/>
        </w:rPr>
        <w:fldChar w:fldCharType="end"/>
      </w:r>
      <w:r>
        <w:rPr>
          <w:rFonts w:ascii="Times New Roman" w:hAnsi="Times New Roman" w:eastAsia="华文仿宋" w:cs="Times New Roman"/>
          <w:sz w:val="30"/>
          <w:szCs w:val="30"/>
        </w:rPr>
        <w:t>、小寺河、小流沙河、寡妇河等流域面积超过100平方千米的河流13条，流域面积超过50平方千米的河流22条，流域面积超过20平方千米的河流53条，这些河流总长度882千米。碧流河为庄河与普兰店的界河环绕于西，庄河、英那河襟带于中，湖里河、地窨河纵贯其东。全部河流均发源于北部山区，流经中部丘陵区及南部</w:t>
      </w:r>
      <w:r>
        <w:fldChar w:fldCharType="begin"/>
      </w:r>
      <w:r>
        <w:instrText xml:space="preserve"> HYPERLINK "https://baike.baidu.com/item/%E6%B2%BF%E6%B5%B7%E5%B9%B3%E5%8E%9F" \t "_blank" </w:instrText>
      </w:r>
      <w:r>
        <w:fldChar w:fldCharType="separate"/>
      </w:r>
      <w:r>
        <w:rPr>
          <w:rFonts w:ascii="Times New Roman" w:hAnsi="Times New Roman" w:eastAsia="华文仿宋" w:cs="Times New Roman"/>
          <w:sz w:val="30"/>
          <w:szCs w:val="30"/>
        </w:rPr>
        <w:t>沿海平原</w:t>
      </w:r>
      <w:r>
        <w:rPr>
          <w:rFonts w:ascii="Times New Roman" w:hAnsi="Times New Roman" w:eastAsia="华文仿宋" w:cs="Times New Roman"/>
          <w:sz w:val="30"/>
          <w:szCs w:val="30"/>
        </w:rPr>
        <w:fldChar w:fldCharType="end"/>
      </w:r>
      <w:r>
        <w:rPr>
          <w:rFonts w:ascii="Times New Roman" w:hAnsi="Times New Roman" w:eastAsia="华文仿宋" w:cs="Times New Roman"/>
          <w:sz w:val="30"/>
          <w:szCs w:val="30"/>
        </w:rPr>
        <w:t>区，大多数河流流向基本由北向南流入</w:t>
      </w:r>
      <w:r>
        <w:fldChar w:fldCharType="begin"/>
      </w:r>
      <w:r>
        <w:instrText xml:space="preserve"> HYPERLINK "https://baike.baidu.com/item/%E9%BB%84%E6%B5%B7" \t "_blank" </w:instrText>
      </w:r>
      <w:r>
        <w:fldChar w:fldCharType="separate"/>
      </w:r>
      <w:r>
        <w:rPr>
          <w:rFonts w:ascii="Times New Roman" w:hAnsi="Times New Roman" w:eastAsia="华文仿宋" w:cs="Times New Roman"/>
          <w:sz w:val="30"/>
          <w:szCs w:val="30"/>
        </w:rPr>
        <w:t>黄海</w:t>
      </w:r>
      <w:r>
        <w:rPr>
          <w:rFonts w:ascii="Times New Roman" w:hAnsi="Times New Roman" w:eastAsia="华文仿宋" w:cs="Times New Roman"/>
          <w:sz w:val="30"/>
          <w:szCs w:val="30"/>
        </w:rPr>
        <w:fldChar w:fldCharType="end"/>
      </w:r>
      <w:r>
        <w:rPr>
          <w:rFonts w:ascii="Times New Roman" w:hAnsi="Times New Roman" w:eastAsia="华文仿宋" w:cs="Times New Roman"/>
          <w:sz w:val="30"/>
          <w:szCs w:val="30"/>
        </w:rPr>
        <w:t>。</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2.2海洋水文</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海域位于黄海北部海域，其潮波系统系太平洋潮波进入中国近海后，北上绕过朝鲜湾后形成的北黄海潮波系统。北黄海潮波系统在山东高角外有一个分潮无潮点，同潮时线绕无潮点按逆时针方向旋转，潮差从无潮点向四周增大。庄河在东经122°30′以东的海区为规则半日潮，以西为不规则半日潮。</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黄海是一个半封闭的长方形浅海，因其宽度较窄，故入射波和反射波均为开尔文波。太平洋潮波由东海进入黄海后继续向北传播，在南黄海基本上保持前进波的形式。前进的过程中，一部分受到辽东半岛南岸的反射，在摩擦力和地转偏向力的作用下，构成了黄海的的左旋潮波系统，使该海区的潮流既具有前进波的性质，又有驻波的某些特征。也就是说，本海区的潮波基本上为一支入射的开尔文波和一支反射的弱的开尔文波的叠加。北黄海的大部分海区受日潮流影响较小，为规则半日潮流。</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3.海区水质特征</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海区盐度变化范围在28.47～31.27之间，平均值为29.87。pH的变化范围为7.46～7.97，平均值为7.72。溶解氧变化范围为11.24～12.01毫克/升，平均值为11.66毫克/升。该海区主要污染因子是磷酸盐和铅，其他因子均不超标。</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4.自然灾害</w:t>
      </w:r>
    </w:p>
    <w:p>
      <w:pPr>
        <w:ind w:firstLine="600" w:firstLineChars="200"/>
        <w:rPr>
          <w:rFonts w:ascii="Times New Roman" w:hAnsi="Times New Roman" w:eastAsia="华文仿宋" w:cs="Times New Roman"/>
          <w:sz w:val="30"/>
          <w:szCs w:val="30"/>
        </w:rPr>
      </w:pPr>
      <w:bookmarkStart w:id="12" w:name="_Toc483246588"/>
      <w:r>
        <w:rPr>
          <w:rFonts w:ascii="Times New Roman" w:hAnsi="Times New Roman" w:eastAsia="华文仿宋" w:cs="Times New Roman"/>
          <w:sz w:val="30"/>
          <w:szCs w:val="30"/>
        </w:rPr>
        <w:t>4.1寒潮</w:t>
      </w:r>
      <w:bookmarkEnd w:id="12"/>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寒潮天气过程是一种大规模的强冷空气活动过程。寒潮天气的主要特点是剧烈降温和大风，有时还伴有雨、雪、雨淞或霜冻。寒潮能导致河港封冻、沿海结冰、交通中断，严重影响工农业生产。</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北方地区冬半年平均每年有5~6次寒潮天气过程发生。单站受寒潮影响标准为日平均气温（或最低气温），过程总降温≥7</w:t>
      </w:r>
      <w:r>
        <w:rPr>
          <w:rFonts w:hint="eastAsia" w:ascii="Times New Roman" w:hAnsi="华文仿宋" w:eastAsia="华文仿宋" w:cs="Times New Roman"/>
          <w:sz w:val="30"/>
          <w:szCs w:val="30"/>
        </w:rPr>
        <w:t>摄氏度</w:t>
      </w:r>
      <w:r>
        <w:rPr>
          <w:rFonts w:ascii="Times New Roman" w:hAnsi="Times New Roman" w:eastAsia="华文仿宋" w:cs="Times New Roman"/>
          <w:sz w:val="30"/>
          <w:szCs w:val="30"/>
        </w:rPr>
        <w:t>，过程最低气温&lt;10</w:t>
      </w:r>
      <w:r>
        <w:rPr>
          <w:rFonts w:hint="eastAsia" w:ascii="Times New Roman" w:hAnsi="华文仿宋" w:eastAsia="华文仿宋" w:cs="Times New Roman"/>
          <w:sz w:val="30"/>
          <w:szCs w:val="30"/>
        </w:rPr>
        <w:t>摄氏度</w:t>
      </w:r>
      <w:r>
        <w:rPr>
          <w:rFonts w:ascii="Times New Roman" w:hAnsi="Times New Roman" w:eastAsia="华文仿宋" w:cs="Times New Roman"/>
          <w:sz w:val="30"/>
          <w:szCs w:val="30"/>
        </w:rPr>
        <w:t>。</w:t>
      </w:r>
    </w:p>
    <w:p>
      <w:pPr>
        <w:ind w:firstLine="600" w:firstLineChars="200"/>
        <w:rPr>
          <w:rFonts w:ascii="Times New Roman" w:hAnsi="Times New Roman" w:eastAsia="华文仿宋" w:cs="Times New Roman"/>
          <w:sz w:val="30"/>
          <w:szCs w:val="30"/>
        </w:rPr>
      </w:pPr>
      <w:bookmarkStart w:id="13" w:name="_Toc483246589"/>
      <w:r>
        <w:rPr>
          <w:rFonts w:ascii="Times New Roman" w:hAnsi="Times New Roman" w:eastAsia="华文仿宋" w:cs="Times New Roman"/>
          <w:sz w:val="30"/>
          <w:szCs w:val="30"/>
        </w:rPr>
        <w:t>4.2海冰</w:t>
      </w:r>
      <w:bookmarkEnd w:id="13"/>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庄河市海域的冰期为3~4个月，流冰厚度为10~15</w:t>
      </w:r>
      <w:r>
        <w:rPr>
          <w:rFonts w:hint="eastAsia" w:ascii="Times New Roman" w:hAnsi="Times New Roman" w:eastAsia="华文仿宋" w:cs="Times New Roman"/>
          <w:sz w:val="30"/>
          <w:szCs w:val="30"/>
        </w:rPr>
        <w:t>厘米</w:t>
      </w:r>
      <w:r>
        <w:rPr>
          <w:rFonts w:ascii="Times New Roman" w:hAnsi="Times New Roman" w:eastAsia="华文仿宋" w:cs="Times New Roman"/>
          <w:sz w:val="30"/>
          <w:szCs w:val="30"/>
        </w:rPr>
        <w:t>，流冰的最大水平尺度为20~100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，最大流冰速度为0.6</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秒</w:t>
      </w:r>
      <w:r>
        <w:rPr>
          <w:rFonts w:ascii="Times New Roman" w:hAnsi="Times New Roman" w:eastAsia="华文仿宋" w:cs="Times New Roman"/>
          <w:sz w:val="30"/>
          <w:szCs w:val="30"/>
        </w:rPr>
        <w:t>，多出现在湾口附近。固定冰厚度一般为15~30</w:t>
      </w:r>
      <w:r>
        <w:rPr>
          <w:rFonts w:hint="eastAsia" w:ascii="Times New Roman" w:hAnsi="Times New Roman" w:eastAsia="华文仿宋" w:cs="Times New Roman"/>
          <w:sz w:val="30"/>
          <w:szCs w:val="30"/>
        </w:rPr>
        <w:t>厘米</w:t>
      </w:r>
      <w:r>
        <w:rPr>
          <w:rFonts w:ascii="Times New Roman" w:hAnsi="Times New Roman" w:eastAsia="华文仿宋" w:cs="Times New Roman"/>
          <w:sz w:val="30"/>
          <w:szCs w:val="30"/>
        </w:rPr>
        <w:t>，海湾两侧比较平直的岸冰宽度一般在50</w:t>
      </w:r>
      <w:r>
        <w:rPr>
          <w:rFonts w:hint="eastAsia" w:ascii="Times New Roman" w:hAnsi="Times New Roman" w:eastAsia="华文仿宋" w:cs="Times New Roman"/>
          <w:sz w:val="30"/>
          <w:szCs w:val="30"/>
        </w:rPr>
        <w:t>米</w:t>
      </w:r>
      <w:r>
        <w:rPr>
          <w:rFonts w:ascii="Times New Roman" w:hAnsi="Times New Roman" w:eastAsia="华文仿宋" w:cs="Times New Roman"/>
          <w:sz w:val="30"/>
          <w:szCs w:val="30"/>
        </w:rPr>
        <w:t>以内。</w:t>
      </w:r>
    </w:p>
    <w:p>
      <w:pPr>
        <w:ind w:firstLine="600" w:firstLineChars="200"/>
        <w:rPr>
          <w:rFonts w:ascii="Times New Roman" w:hAnsi="Times New Roman" w:eastAsia="华文仿宋" w:cs="Times New Roman"/>
          <w:sz w:val="30"/>
          <w:szCs w:val="30"/>
        </w:rPr>
      </w:pPr>
      <w:bookmarkStart w:id="14" w:name="_Toc483246590"/>
      <w:r>
        <w:rPr>
          <w:rFonts w:ascii="Times New Roman" w:hAnsi="Times New Roman" w:eastAsia="华文仿宋" w:cs="Times New Roman"/>
          <w:sz w:val="30"/>
          <w:szCs w:val="30"/>
        </w:rPr>
        <w:t>4.3风暴潮</w:t>
      </w:r>
      <w:bookmarkEnd w:id="14"/>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风暴潮是由台风或寒潮大风引起的一种自然灾害，庄河海域发生风暴潮最有可能是台风引起的。据资料统计，1949~1998年庄河海域台风共27次，其中影响较大的有8次，影响较小的有19次。影响加大的8次中，庄河的气象站最大风力在8级以上的有1次，风力在6级以上的有7次；影响较小的19次，庄河气象站的风力均小于6级。其中多数因在陆地移动时间较长，进入渤海或北黄海后百年城温带气旋；少数台风在北黄海转向去朝鲜。</w:t>
      </w:r>
    </w:p>
    <w:p>
      <w:pPr>
        <w:pStyle w:val="24"/>
        <w:ind w:left="1" w:firstLine="601"/>
        <w:rPr>
          <w:rFonts w:ascii="Times New Roman" w:hAnsi="Times New Roman" w:eastAsia="华文仿宋" w:cs="Times New Roman"/>
          <w:b/>
          <w:sz w:val="30"/>
          <w:szCs w:val="30"/>
        </w:rPr>
      </w:pPr>
      <w:r>
        <w:rPr>
          <w:rFonts w:ascii="Times New Roman" w:hAnsi="Times New Roman" w:eastAsia="华文仿宋" w:cs="Times New Roman"/>
          <w:b/>
          <w:sz w:val="30"/>
          <w:szCs w:val="30"/>
        </w:rPr>
        <w:t>第三条  水生生物资源状况</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1.浮游生物</w:t>
      </w:r>
    </w:p>
    <w:p>
      <w:pPr>
        <w:pStyle w:val="13"/>
        <w:spacing w:before="0" w:beforeAutospacing="0" w:after="0" w:afterAutospacing="0"/>
        <w:ind w:left="36" w:leftChars="17" w:right="40" w:firstLine="600" w:firstLineChars="200"/>
        <w:jc w:val="both"/>
        <w:rPr>
          <w:rFonts w:ascii="Times New Roman" w:hAnsi="Times New Roman" w:eastAsia="华文仿宋" w:cs="Times New Roman"/>
          <w:kern w:val="2"/>
          <w:sz w:val="30"/>
          <w:szCs w:val="30"/>
        </w:rPr>
      </w:pPr>
      <w:r>
        <w:rPr>
          <w:rFonts w:ascii="Times New Roman" w:hAnsi="Times New Roman" w:eastAsia="华文仿宋" w:cs="Times New Roman"/>
          <w:kern w:val="2"/>
          <w:sz w:val="30"/>
          <w:szCs w:val="30"/>
        </w:rPr>
        <w:t>浮游植物：调查区内浮游植物群落组成基本以硅藻类为主，浮游植物群落组成属于较典型的北方海域近岸种类组成，优势种较突出，其优势度较显著。共检出浮游植物2大类33种，其中硅藻30种，甲藻3种，金藻1种，种类多样性较高。</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浮游动物：海域调查共采集到四大类16种（类）浮游动物。浮游动物优势种有中华哲水蚤、沃氏纺锤水蚤和拟长腹剑水蚤。浮游动物生物量平均值为1060</w:t>
      </w:r>
      <w:r>
        <w:rPr>
          <w:rFonts w:hint="eastAsia" w:ascii="Times New Roman" w:hAnsi="Times New Roman" w:eastAsia="华文仿宋" w:cs="Times New Roman"/>
          <w:sz w:val="30"/>
          <w:szCs w:val="30"/>
        </w:rPr>
        <w:t>毫克</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立方米</w:t>
      </w:r>
      <w:r>
        <w:rPr>
          <w:rFonts w:ascii="Times New Roman" w:hAnsi="Times New Roman" w:eastAsia="华文仿宋" w:cs="Times New Roman"/>
          <w:sz w:val="30"/>
          <w:szCs w:val="30"/>
        </w:rPr>
        <w:t>，各站位生物量波动范围在367～2685</w:t>
      </w:r>
      <w:r>
        <w:rPr>
          <w:rFonts w:hint="eastAsia" w:ascii="Times New Roman" w:hAnsi="Times New Roman" w:eastAsia="华文仿宋" w:cs="Times New Roman"/>
          <w:sz w:val="30"/>
          <w:szCs w:val="30"/>
        </w:rPr>
        <w:t>毫克</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立方米</w:t>
      </w:r>
      <w:r>
        <w:rPr>
          <w:rFonts w:ascii="Times New Roman" w:hAnsi="Times New Roman" w:eastAsia="华文仿宋" w:cs="Times New Roman"/>
          <w:sz w:val="30"/>
          <w:szCs w:val="30"/>
        </w:rPr>
        <w:t>之间。</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2.底栖生物</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调查海域共记录大型底栖生物47种，分布于6个动物门。其中，环节动物28种，占59.57%；节肢动物14种，占29.79%；软体动物3种，棘皮动物2种。调查海域各站位大型底栖生物栖息密度在90~440</w:t>
      </w:r>
      <w:r>
        <w:rPr>
          <w:rFonts w:hint="eastAsia" w:ascii="Times New Roman" w:hAnsi="Times New Roman" w:eastAsia="华文仿宋" w:cs="Times New Roman"/>
          <w:sz w:val="30"/>
          <w:szCs w:val="30"/>
        </w:rPr>
        <w:t>个</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平方米</w:t>
      </w:r>
      <w:r>
        <w:rPr>
          <w:rFonts w:ascii="Times New Roman" w:hAnsi="Times New Roman" w:eastAsia="华文仿宋" w:cs="Times New Roman"/>
          <w:sz w:val="30"/>
          <w:szCs w:val="30"/>
        </w:rPr>
        <w:t>之间，平均密度为195</w:t>
      </w:r>
      <w:r>
        <w:rPr>
          <w:rFonts w:hint="eastAsia" w:ascii="Times New Roman" w:hAnsi="Times New Roman" w:eastAsia="华文仿宋" w:cs="Times New Roman"/>
          <w:sz w:val="30"/>
          <w:szCs w:val="30"/>
        </w:rPr>
        <w:t>个</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平方米</w:t>
      </w:r>
      <w:r>
        <w:rPr>
          <w:rFonts w:ascii="Times New Roman" w:hAnsi="Times New Roman" w:eastAsia="华文仿宋" w:cs="Times New Roman"/>
          <w:sz w:val="30"/>
          <w:szCs w:val="30"/>
        </w:rPr>
        <w:t>。密度优势种主要为：拟特须虫、短角双眼钩虾。底栖生物总生物量在2.8~29.3</w:t>
      </w:r>
      <w:r>
        <w:rPr>
          <w:rFonts w:hint="eastAsia" w:ascii="Times New Roman" w:hAnsi="Times New Roman" w:eastAsia="华文仿宋" w:cs="Times New Roman"/>
          <w:sz w:val="30"/>
          <w:szCs w:val="30"/>
        </w:rPr>
        <w:t>克</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平方米</w:t>
      </w:r>
      <w:r>
        <w:rPr>
          <w:rFonts w:ascii="Times New Roman" w:hAnsi="Times New Roman" w:eastAsia="华文仿宋" w:cs="Times New Roman"/>
          <w:sz w:val="30"/>
          <w:szCs w:val="30"/>
        </w:rPr>
        <w:t>之间，平均生物量为8.7</w:t>
      </w:r>
      <w:r>
        <w:rPr>
          <w:rFonts w:hint="eastAsia" w:ascii="Times New Roman" w:hAnsi="Times New Roman" w:eastAsia="华文仿宋" w:cs="Times New Roman"/>
          <w:sz w:val="30"/>
          <w:szCs w:val="30"/>
        </w:rPr>
        <w:t>克</w:t>
      </w:r>
      <w:r>
        <w:rPr>
          <w:rFonts w:ascii="Times New Roman" w:hAnsi="Times New Roman" w:eastAsia="华文仿宋" w:cs="Times New Roman"/>
          <w:sz w:val="30"/>
          <w:szCs w:val="30"/>
        </w:rPr>
        <w:t>/</w:t>
      </w:r>
      <w:r>
        <w:rPr>
          <w:rFonts w:hint="eastAsia" w:ascii="Times New Roman" w:hAnsi="Times New Roman" w:eastAsia="华文仿宋" w:cs="Times New Roman"/>
          <w:sz w:val="30"/>
          <w:szCs w:val="30"/>
        </w:rPr>
        <w:t>平方米</w:t>
      </w:r>
      <w:r>
        <w:rPr>
          <w:rFonts w:ascii="Times New Roman" w:hAnsi="Times New Roman" w:eastAsia="华文仿宋" w:cs="Times New Roman"/>
          <w:sz w:val="30"/>
          <w:szCs w:val="30"/>
        </w:rPr>
        <w:t>。</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3.游泳生物</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统计分析结果表明，调查海域渔获物重量和尾数密度多样性指数均值分别为2.94和2.76。综合各生态指标可见，调查水域渔业资源资源密度良好，种间分布较均匀，适合不同游泳动物繁育和生长。</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4.淡水生物资源</w:t>
      </w:r>
    </w:p>
    <w:p>
      <w:pPr>
        <w:pStyle w:val="24"/>
        <w:ind w:left="1" w:firstLine="600"/>
        <w:rPr>
          <w:rFonts w:ascii="Times New Roman" w:hAnsi="Times New Roman" w:eastAsia="华文仿宋" w:cs="Times New Roman"/>
          <w:sz w:val="30"/>
          <w:szCs w:val="30"/>
        </w:rPr>
      </w:pPr>
      <w:r>
        <w:rPr>
          <w:rFonts w:ascii="Times New Roman" w:hAnsi="Times New Roman" w:eastAsia="华文仿宋" w:cs="Times New Roman"/>
          <w:sz w:val="30"/>
          <w:szCs w:val="30"/>
        </w:rPr>
        <w:t>全市淡水鱼类主要有鲢鱼、鲤鱼、草鱼，年养殖产量约1000吨。水生植物资源也较为丰富，是水产养殖的饵料来源</w:t>
      </w:r>
      <w:r>
        <w:rPr>
          <w:rFonts w:ascii="Times New Roman" w:hAnsi="Times New Roman" w:eastAsia="华文仿宋" w:cs="Times New Roman"/>
          <w:sz w:val="28"/>
          <w:szCs w:val="28"/>
        </w:rPr>
        <w:t>。</w:t>
      </w:r>
    </w:p>
    <w:p>
      <w:pPr>
        <w:pStyle w:val="24"/>
        <w:ind w:left="1" w:firstLine="601"/>
        <w:rPr>
          <w:rFonts w:ascii="Times New Roman" w:hAnsi="Times New Roman" w:eastAsia="华文仿宋" w:cs="Times New Roman"/>
          <w:b/>
          <w:sz w:val="30"/>
          <w:szCs w:val="30"/>
        </w:rPr>
      </w:pPr>
      <w:r>
        <w:rPr>
          <w:rFonts w:ascii="Times New Roman" w:hAnsi="Times New Roman" w:eastAsia="华文仿宋" w:cs="Times New Roman"/>
          <w:b/>
          <w:sz w:val="30"/>
          <w:szCs w:val="30"/>
        </w:rPr>
        <w:t>第四条  水域环境状况</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庄河市主要河流水质状况良好。碧流河、英那河上游水质类别均符合或优于</w:t>
      </w:r>
      <w:r>
        <w:rPr>
          <w:rFonts w:hint="eastAsia" w:ascii="Times New Roman" w:hAnsi="Times New Roman" w:eastAsia="华文仿宋" w:cs="Times New Roman"/>
          <w:sz w:val="30"/>
          <w:szCs w:val="30"/>
        </w:rPr>
        <w:t>二</w:t>
      </w:r>
      <w:r>
        <w:rPr>
          <w:rFonts w:ascii="Times New Roman" w:hAnsi="Times New Roman" w:eastAsia="华文仿宋" w:cs="Times New Roman"/>
          <w:sz w:val="30"/>
          <w:szCs w:val="30"/>
        </w:rPr>
        <w:t>类标准，入海口以上断面水质类别基本符合或优于</w:t>
      </w:r>
      <w:r>
        <w:rPr>
          <w:rFonts w:hint="eastAsia" w:ascii="Times New Roman" w:hAnsi="Times New Roman" w:eastAsia="华文仿宋" w:cs="Times New Roman"/>
          <w:sz w:val="30"/>
          <w:szCs w:val="30"/>
        </w:rPr>
        <w:t>五</w:t>
      </w:r>
      <w:r>
        <w:rPr>
          <w:rFonts w:ascii="Times New Roman" w:hAnsi="Times New Roman" w:eastAsia="华文仿宋" w:cs="Times New Roman"/>
          <w:sz w:val="30"/>
          <w:szCs w:val="30"/>
        </w:rPr>
        <w:t>类标准。碧流河水库、英那河水库、转角楼水库、朱隈水库4处重要城市供水水源地水质符合集中式生活饮用水地表</w:t>
      </w:r>
      <w:r>
        <w:rPr>
          <w:rFonts w:ascii="Times New Roman" w:hAnsi="Times New Roman" w:eastAsia="华文仿宋" w:cs="Times New Roman"/>
          <w:bCs/>
          <w:sz w:val="30"/>
          <w:szCs w:val="30"/>
        </w:rPr>
        <w:t>水源地水质要求。</w:t>
      </w:r>
      <w:r>
        <w:rPr>
          <w:rFonts w:ascii="Times New Roman" w:hAnsi="Times New Roman" w:eastAsia="华文仿宋" w:cs="Times New Roman"/>
          <w:sz w:val="30"/>
          <w:szCs w:val="30"/>
        </w:rPr>
        <w:t>近岸海域海水环境状况比较稳定，环境质量较好，海水质量基本符合第二类海水水质标准，适宜开展海水养殖。</w:t>
      </w:r>
    </w:p>
    <w:p>
      <w:pPr>
        <w:pStyle w:val="24"/>
        <w:ind w:left="1" w:firstLine="601"/>
        <w:rPr>
          <w:rFonts w:ascii="Times New Roman" w:hAnsi="Times New Roman" w:eastAsia="华文仿宋" w:cs="Times New Roman"/>
          <w:b/>
          <w:sz w:val="30"/>
          <w:szCs w:val="30"/>
        </w:rPr>
      </w:pPr>
      <w:r>
        <w:rPr>
          <w:rFonts w:ascii="Times New Roman" w:hAnsi="Times New Roman" w:eastAsia="华文仿宋" w:cs="Times New Roman"/>
          <w:b/>
          <w:sz w:val="30"/>
          <w:szCs w:val="30"/>
        </w:rPr>
        <w:t>第五条  水域滩涂承载力评价</w:t>
      </w:r>
    </w:p>
    <w:p>
      <w:pPr>
        <w:pStyle w:val="13"/>
        <w:spacing w:before="0" w:beforeAutospacing="0" w:after="0" w:afterAutospacing="0"/>
        <w:ind w:left="36" w:leftChars="17" w:right="40" w:firstLine="600" w:firstLineChars="200"/>
        <w:jc w:val="both"/>
        <w:rPr>
          <w:rFonts w:ascii="Times New Roman" w:hAnsi="Times New Roman" w:eastAsia="华文仿宋" w:cs="Times New Roman"/>
          <w:kern w:val="2"/>
          <w:sz w:val="30"/>
          <w:szCs w:val="30"/>
        </w:rPr>
      </w:pPr>
      <w:r>
        <w:rPr>
          <w:rFonts w:ascii="Times New Roman" w:hAnsi="Times New Roman" w:eastAsia="华文仿宋" w:cs="Times New Roman"/>
          <w:bCs/>
          <w:kern w:val="2"/>
          <w:sz w:val="30"/>
          <w:szCs w:val="30"/>
        </w:rPr>
        <w:t>海水养殖生态承载力评价结果显示，庄河市整体处于较好水平。</w:t>
      </w:r>
      <w:r>
        <w:rPr>
          <w:rFonts w:ascii="Times New Roman" w:hAnsi="Times New Roman" w:eastAsia="华文仿宋" w:cs="Times New Roman"/>
          <w:kern w:val="2"/>
          <w:sz w:val="30"/>
          <w:szCs w:val="30"/>
        </w:rPr>
        <w:t>严格依据《辽宁省海洋功能区划》（2011-2020）、《大连市海洋功能区划》（2012-2020）和《大连市主体功能区规划》（2014-2020年）的功能分区，以科学发展观为指导，限制开发和管理水域滩涂资源，不断改善水产养殖环境、优化水产品养殖结构、完善水产良种繁育体系、推进水产生态健康养殖、提升渔业产业化水平并狠抓水产品质量安全监管</w:t>
      </w:r>
      <w:r>
        <w:rPr>
          <w:rFonts w:hint="eastAsia" w:ascii="Times New Roman" w:hAnsi="Times New Roman" w:eastAsia="华文仿宋" w:cs="Times New Roman"/>
          <w:kern w:val="2"/>
          <w:sz w:val="30"/>
          <w:szCs w:val="30"/>
        </w:rPr>
        <w:t>工作</w:t>
      </w:r>
      <w:r>
        <w:rPr>
          <w:rFonts w:ascii="Times New Roman" w:hAnsi="Times New Roman" w:eastAsia="华文仿宋" w:cs="Times New Roman"/>
          <w:kern w:val="2"/>
          <w:sz w:val="30"/>
          <w:szCs w:val="30"/>
        </w:rPr>
        <w:t>，使得庄河市水域滩涂资源衰退趋势得到扭转。将水域滩涂资源详细划分禁止养殖区、限制养殖区与养殖区等功能分区，并进行科学管理，以免出现盲目开发与资源衰竭，确保水域滩涂资源可持续利用。</w:t>
      </w:r>
    </w:p>
    <w:p>
      <w:pPr>
        <w:ind w:firstLine="600" w:firstLineChars="200"/>
        <w:rPr>
          <w:rFonts w:ascii="Times New Roman" w:hAnsi="Times New Roman" w:eastAsia="华文仿宋" w:cs="Times New Roman"/>
          <w:sz w:val="30"/>
          <w:szCs w:val="30"/>
        </w:rPr>
      </w:pPr>
    </w:p>
    <w:p>
      <w:pPr>
        <w:pStyle w:val="3"/>
        <w:adjustRightInd w:val="0"/>
        <w:snapToGrid w:val="0"/>
        <w:spacing w:beforeLines="50" w:afterLines="50" w:line="360" w:lineRule="auto"/>
        <w:jc w:val="center"/>
        <w:rPr>
          <w:rFonts w:ascii="Times New Roman" w:hAnsi="Times New Roman"/>
          <w:b w:val="0"/>
          <w:sz w:val="30"/>
          <w:szCs w:val="30"/>
        </w:rPr>
      </w:pPr>
      <w:bookmarkStart w:id="15" w:name="_Toc529634094"/>
      <w:r>
        <w:rPr>
          <w:rFonts w:ascii="Times New Roman" w:hAnsi="Times New Roman"/>
          <w:b w:val="0"/>
          <w:sz w:val="30"/>
          <w:szCs w:val="30"/>
        </w:rPr>
        <w:t>第七节  水产养殖产业发展分析</w:t>
      </w:r>
      <w:bookmarkEnd w:id="15"/>
    </w:p>
    <w:p>
      <w:pPr>
        <w:adjustRightInd w:val="0"/>
        <w:snapToGrid w:val="0"/>
        <w:spacing w:line="360" w:lineRule="auto"/>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第一条  水产养殖发展现状</w:t>
      </w:r>
    </w:p>
    <w:p>
      <w:pPr>
        <w:adjustRightInd w:val="0"/>
        <w:snapToGrid w:val="0"/>
        <w:spacing w:line="360" w:lineRule="auto"/>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十二五”期间，庄河市坚持“调整结构，提高产量，保证供给，促进增收”的渔业发展方针，加快庄河市现代渔业的发展。2016年，渔业经济总产值实现198亿元，同比增长6.2%；渔业经济增加值实现99亿元，比上年同期增长5.9%；水产品总产量实现57.8万吨，比上年增长2%。</w:t>
      </w:r>
    </w:p>
    <w:p>
      <w:pPr>
        <w:adjustRightInd w:val="0"/>
        <w:snapToGrid w:val="0"/>
        <w:spacing w:line="360" w:lineRule="auto"/>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利用庄河海岸滩缓流稳的自然优越条件，大力发展底播养殖，是国家主要水产生产基地，享有“世界蚬库”、“全国活贝出口第一村”和国家“北方滩涂贝类健康养殖集成基地”的美誉。庄河市海域分布有渔业资源种类94种，其中具有经济价值种类43种，包括小黄鱼、蓝点马鲛、日本鲭、斑鰶、黄鲫、黄鮟鱇、长绵鳚、鲆鲽类、许氏平鲉、大泷六线鱼、中国明对虾、鹰爪虾、口虾蛄、日本蟳、三疣梭子蟹、火枪乌贼、长、短蛸、毛蚶、魁蚶、菲律宾蛤仔、中华马珂蛤、方形马珂蛤、长牡蛎、脉红螺等。近5年来，该区域生物资源的优势地位较为稳定的物种有15种，其中长绵鳚、大泷六线鱼、斑纹狮子鱼、脊腹褐虾、黄鮟鱇、火枪乌贼等在各季优势种中出现频率较高。优势种中日本鲭、许氏平鲉、口虾蛄、长、短蛸等分布密度较大；小黄鱼、长绵鳚、大泷六线鱼、石鲽、三疣梭子蟹、火枪乌贼等分布密度处于中等水平；木叶鲽、鹰爪虾分布密度较小。</w:t>
      </w:r>
    </w:p>
    <w:p>
      <w:pPr>
        <w:adjustRightInd w:val="0"/>
        <w:snapToGrid w:val="0"/>
        <w:spacing w:line="360" w:lineRule="auto"/>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渔业事业的发展，向现代渔业标准模式在努力靠近。但目前仍存在以下问题：庄河沿岸海水及内陆淡水养殖功能受到了严重的挤压，水域滩涂养殖资源可利用区域减小；养殖品种更新缓慢，渔民收入缺少新的增长点；渔业科技投入不足；养殖用海集约化程度不高。因此，如何在多元化经济建设中，寻求渔业经济的高效发展是当前面临着重要课题。</w:t>
      </w:r>
    </w:p>
    <w:p>
      <w:pPr>
        <w:adjustRightInd w:val="0"/>
        <w:snapToGrid w:val="0"/>
        <w:spacing w:line="360" w:lineRule="auto"/>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第二条  区域经济发展方向</w:t>
      </w:r>
    </w:p>
    <w:p>
      <w:pPr>
        <w:ind w:firstLine="560"/>
        <w:rPr>
          <w:rFonts w:ascii="Times New Roman" w:hAnsi="Times New Roman" w:eastAsia="华文仿宋" w:cs="Times New Roman"/>
          <w:sz w:val="30"/>
          <w:szCs w:val="30"/>
        </w:rPr>
      </w:pPr>
      <w:r>
        <w:rPr>
          <w:rFonts w:ascii="Times New Roman" w:hAnsi="Times New Roman" w:eastAsia="华文仿宋" w:cs="Times New Roman"/>
          <w:sz w:val="30"/>
          <w:szCs w:val="30"/>
        </w:rPr>
        <w:t>庄河市优越的地理位置和自然资源为其经济发展创造了条件，在辽宁沿海经济带的发展规划中，庄河被列为重要的开发利用区域。自2008年辽宁沿海经济带开发建设正式纳入国家战略后，庄河原有功能区定位有所调整，海域使用从过去以渔业用海为主、工业用海为辅逐步发展为多种类型用海，全力打造以高新技术产业为支撑，集旅游、休闲于一体的现代化生态宜居新城。在新一轮的辽宁省海洋功能区划调整后，庄河市沿岸经济产业结构发生了较大改变，港口、临港产业、沿海城镇建设等新兴产业正逐步替代养殖产业，在一定程度上给养殖产业的发展增加了压力，同时促使海水养殖在有限的海域内向高产、高效的现代渔业方向发展。针对当前庄河的区域发展定位和海洋经济发展特点，应重点协调好养殖产业与其它产业的发展关系，在有限的海域内发展养殖产业，提升养殖品种的质量和产量，并发展现代渔业以优化海域生态环境。</w:t>
      </w:r>
    </w:p>
    <w:p>
      <w:pPr>
        <w:adjustRightInd w:val="0"/>
        <w:snapToGrid w:val="0"/>
        <w:spacing w:line="360" w:lineRule="auto"/>
        <w:ind w:firstLine="602" w:firstLineChars="200"/>
        <w:rPr>
          <w:rFonts w:ascii="Times New Roman" w:hAnsi="Times New Roman" w:eastAsia="华文仿宋" w:cs="Times New Roman"/>
          <w:b/>
          <w:sz w:val="30"/>
          <w:szCs w:val="30"/>
        </w:rPr>
      </w:pPr>
    </w:p>
    <w:p>
      <w:pPr>
        <w:adjustRightInd w:val="0"/>
        <w:snapToGrid w:val="0"/>
        <w:spacing w:line="360" w:lineRule="auto"/>
        <w:ind w:firstLine="602" w:firstLineChars="200"/>
        <w:rPr>
          <w:rFonts w:ascii="Times New Roman" w:hAnsi="Times New Roman" w:eastAsia="华文仿宋" w:cs="Times New Roman"/>
          <w:b/>
          <w:sz w:val="30"/>
          <w:szCs w:val="30"/>
        </w:rPr>
      </w:pPr>
    </w:p>
    <w:p>
      <w:pPr>
        <w:adjustRightInd w:val="0"/>
        <w:snapToGrid w:val="0"/>
        <w:spacing w:line="360" w:lineRule="auto"/>
        <w:ind w:firstLine="602" w:firstLineChars="200"/>
        <w:rPr>
          <w:rFonts w:ascii="Times New Roman" w:hAnsi="Times New Roman" w:eastAsia="华文仿宋" w:cs="Times New Roman"/>
          <w:b/>
          <w:sz w:val="30"/>
          <w:szCs w:val="30"/>
        </w:rPr>
      </w:pPr>
      <w:r>
        <w:rPr>
          <w:rFonts w:ascii="Times New Roman" w:hAnsi="Times New Roman" w:eastAsia="华文仿宋" w:cs="Times New Roman"/>
          <w:b/>
          <w:sz w:val="30"/>
          <w:szCs w:val="30"/>
        </w:rPr>
        <w:t>第三条  水产养殖前景预测</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庄河市目前主要养殖品种为河鲀、中国对虾、日本对虾、贻贝、牡蛎、海湾扇贝、虾夷扇贝、菲律宾蛤仔、海参、海蜇和淡水鱼等。经过多年的养殖，各养殖品种都有不同程度的病害发生，影响养殖效益；而近年兴起的刺参养殖，受海水盐度偏低和市场的影响，养殖规模大幅减少。由于种质退化、抗病力降低、病害增加、养殖风险加大，严重威胁着水产养殖业的发展，因此养殖品种和模式更新问题势在必行。</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从庄河市海水养殖的品种、产量、面积，结合环境、生物、水质、饵料、底质、潮流等数据进行综合分析，根据不同养殖方式，规划养殖品种如下。</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规划围海养殖区养殖品种推荐为：刺参。</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规划底播养殖区养殖品种推荐为：菲律宾蛤仔、魁蚶、生蚶、螺类等。</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此外，人工鱼礁建设是辽宁省海洋牧场建设的重要内容，营造良好的海底环境，适合刺参和其他海珍品的生长，因此，规划在实施人工鱼礁建设海域发展休闲渔业，形成新型的产业，促进庄河渔业的经济增长。</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淡水养殖分为水库和池塘渔业。水库渔业以增殖放流为主，兼小规模网箱养殖。</w:t>
      </w:r>
    </w:p>
    <w:p>
      <w:pPr>
        <w:pStyle w:val="3"/>
        <w:adjustRightInd w:val="0"/>
        <w:snapToGrid w:val="0"/>
        <w:spacing w:beforeLines="50" w:afterLines="50" w:line="360" w:lineRule="auto"/>
        <w:jc w:val="center"/>
        <w:rPr>
          <w:rFonts w:ascii="Times New Roman" w:hAnsi="Times New Roman"/>
          <w:b w:val="0"/>
          <w:sz w:val="30"/>
          <w:szCs w:val="30"/>
        </w:rPr>
      </w:pPr>
      <w:bookmarkStart w:id="16" w:name="_Toc529634095"/>
      <w:r>
        <w:rPr>
          <w:rFonts w:ascii="Times New Roman" w:hAnsi="Times New Roman"/>
          <w:b w:val="0"/>
          <w:sz w:val="30"/>
          <w:szCs w:val="30"/>
        </w:rPr>
        <w:t>第八节  养殖水域滩涂开发总体思路</w:t>
      </w:r>
      <w:bookmarkEnd w:id="16"/>
    </w:p>
    <w:p>
      <w:pPr>
        <w:ind w:firstLine="596" w:firstLineChars="198"/>
        <w:rPr>
          <w:rFonts w:ascii="Times New Roman" w:hAnsi="Times New Roman" w:eastAsia="华文仿宋" w:cs="Times New Roman"/>
          <w:b/>
          <w:sz w:val="30"/>
          <w:szCs w:val="30"/>
        </w:rPr>
      </w:pPr>
      <w:r>
        <w:rPr>
          <w:rFonts w:ascii="Times New Roman" w:hAnsi="Times New Roman" w:eastAsia="华文仿宋" w:cs="Times New Roman"/>
          <w:b/>
          <w:sz w:val="30"/>
          <w:szCs w:val="30"/>
        </w:rPr>
        <w:t>第一条  养殖水域滩涂开发与环境保护并举</w:t>
      </w:r>
    </w:p>
    <w:p>
      <w:pPr>
        <w:ind w:firstLine="576"/>
        <w:rPr>
          <w:rFonts w:ascii="Times New Roman" w:hAnsi="Times New Roman" w:eastAsia="华文仿宋" w:cs="Times New Roman"/>
          <w:sz w:val="30"/>
          <w:szCs w:val="30"/>
        </w:rPr>
      </w:pPr>
      <w:r>
        <w:rPr>
          <w:rFonts w:ascii="Times New Roman" w:hAnsi="Times New Roman" w:eastAsia="华文仿宋" w:cs="Times New Roman"/>
          <w:sz w:val="30"/>
          <w:szCs w:val="30"/>
        </w:rPr>
        <w:t>养殖水域滩涂开发是地方社会经济发展的物质基础，生态环境是经济发展的约束条件，水域生态系统服务功能是经济发展的支持基础。正确处理水资源、生态和水域滩涂承载力与地方经济健康发展之间的关系，需要做到：（1）避免片面追求经济效益，不顾水资源、生态和环境承受能力的盲目开发，做到养殖水域滩涂开发与环境保护并举。（2）避免片面追求水资源、生态和环境的重要性而抑制和限制养殖经济的发展。水资源开发利用与生态保护同步规划，协调发展以确保适应水资源、生态和环境的承受能力，才能使养殖经济发展进入良性循环。</w:t>
      </w:r>
    </w:p>
    <w:p>
      <w:pPr>
        <w:ind w:firstLine="596" w:firstLineChars="198"/>
        <w:rPr>
          <w:rFonts w:ascii="Times New Roman" w:hAnsi="Times New Roman" w:eastAsia="华文仿宋" w:cs="Times New Roman"/>
          <w:b/>
          <w:sz w:val="30"/>
          <w:szCs w:val="30"/>
        </w:rPr>
      </w:pPr>
      <w:r>
        <w:rPr>
          <w:rFonts w:ascii="Times New Roman" w:hAnsi="Times New Roman" w:eastAsia="华文仿宋" w:cs="Times New Roman"/>
          <w:b/>
          <w:sz w:val="30"/>
          <w:szCs w:val="30"/>
        </w:rPr>
        <w:t>第二条  促进低碳经济发展，打造低碳养殖产业经济示范区</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随着养殖经济的快速发展，低碳养殖的构建成为低碳经济转型、养殖产业结构升级的重要环节，急需设立低碳养殖产业规划、布局与建设的相关诱导机制，以发挥低碳养殖在经济发展中的示范作用。</w:t>
      </w:r>
    </w:p>
    <w:p>
      <w:pPr>
        <w:ind w:firstLine="596" w:firstLineChars="198"/>
        <w:rPr>
          <w:rFonts w:ascii="Times New Roman" w:hAnsi="Times New Roman" w:eastAsia="华文仿宋" w:cs="Times New Roman"/>
          <w:b/>
          <w:sz w:val="30"/>
          <w:szCs w:val="30"/>
        </w:rPr>
      </w:pPr>
      <w:r>
        <w:rPr>
          <w:rFonts w:ascii="Times New Roman" w:hAnsi="Times New Roman" w:eastAsia="华文仿宋" w:cs="Times New Roman"/>
          <w:b/>
          <w:sz w:val="30"/>
          <w:szCs w:val="30"/>
        </w:rPr>
        <w:t>第三条  优化养殖空间布局，实现养殖产业结构升级</w:t>
      </w:r>
    </w:p>
    <w:p>
      <w:pPr>
        <w:pStyle w:val="24"/>
        <w:ind w:firstLine="600"/>
        <w:rPr>
          <w:rFonts w:ascii="Times New Roman" w:hAnsi="Times New Roman" w:eastAsia="华文仿宋" w:cs="Times New Roman"/>
          <w:sz w:val="30"/>
          <w:szCs w:val="30"/>
        </w:rPr>
      </w:pPr>
      <w:r>
        <w:rPr>
          <w:rFonts w:ascii="Times New Roman" w:hAnsi="Times New Roman" w:eastAsia="华文仿宋" w:cs="Times New Roman"/>
          <w:sz w:val="30"/>
          <w:szCs w:val="30"/>
        </w:rPr>
        <w:t>水产养殖必须走科教兴渔之路，推动渔业养殖技术进步，提高渔业开发的技术水平，实现水产养殖由粗放型向高附加值、低碳、高新技术性升级，降低渔业经济对自然资源的依赖程度。各级政府应根据本地区水域滩涂承载力和整体效益，找出自身优势，发展特色养殖产业。根据渔业资源的区位特征、交通条件和市场环境，设置相关的养殖产业，同时重点支持养殖区域的交通运输、邮电通信、水电等基础设施建设和渔业信息服务业的发展，创造与产业优化相适应的软环境，使区域内产业之间形成互补关系，相互协调，降低运输生产成本，形成“区域品牌效应”，以提高区域内产业综合竞争力。</w:t>
      </w:r>
    </w:p>
    <w:p>
      <w:pPr>
        <w:ind w:firstLine="596" w:firstLineChars="198"/>
        <w:rPr>
          <w:rFonts w:ascii="Times New Roman" w:hAnsi="Times New Roman" w:eastAsia="华文仿宋" w:cs="Times New Roman"/>
          <w:b/>
          <w:sz w:val="30"/>
          <w:szCs w:val="30"/>
        </w:rPr>
      </w:pPr>
      <w:r>
        <w:rPr>
          <w:rFonts w:ascii="Times New Roman" w:hAnsi="Times New Roman" w:eastAsia="华文仿宋" w:cs="Times New Roman"/>
          <w:b/>
          <w:sz w:val="30"/>
          <w:szCs w:val="30"/>
        </w:rPr>
        <w:t xml:space="preserve">第四条  </w:t>
      </w:r>
      <w:r>
        <w:rPr>
          <w:rFonts w:hint="eastAsia" w:ascii="Times New Roman" w:hAnsi="Times New Roman" w:eastAsia="华文仿宋" w:cs="Times New Roman"/>
          <w:b/>
          <w:sz w:val="30"/>
          <w:szCs w:val="30"/>
        </w:rPr>
        <w:t>优化</w:t>
      </w:r>
      <w:r>
        <w:rPr>
          <w:rFonts w:ascii="Times New Roman" w:hAnsi="Times New Roman" w:eastAsia="华文仿宋" w:cs="Times New Roman"/>
          <w:b/>
          <w:sz w:val="30"/>
          <w:szCs w:val="30"/>
        </w:rPr>
        <w:t>养殖</w:t>
      </w:r>
      <w:r>
        <w:rPr>
          <w:rFonts w:hint="eastAsia" w:ascii="Times New Roman" w:hAnsi="Times New Roman" w:eastAsia="华文仿宋" w:cs="Times New Roman"/>
          <w:b/>
          <w:sz w:val="30"/>
          <w:szCs w:val="30"/>
        </w:rPr>
        <w:t>生态环境</w:t>
      </w:r>
      <w:r>
        <w:rPr>
          <w:rFonts w:ascii="Times New Roman" w:hAnsi="Times New Roman" w:eastAsia="华文仿宋" w:cs="Times New Roman"/>
          <w:b/>
          <w:sz w:val="30"/>
          <w:szCs w:val="30"/>
        </w:rPr>
        <w:t>监测体系，强化地区养殖优势产业</w:t>
      </w:r>
    </w:p>
    <w:p>
      <w:pPr>
        <w:ind w:firstLine="576"/>
        <w:rPr>
          <w:rFonts w:ascii="Times New Roman" w:hAnsi="Times New Roman" w:eastAsia="华文仿宋" w:cs="Times New Roman"/>
          <w:sz w:val="30"/>
          <w:szCs w:val="30"/>
        </w:rPr>
      </w:pPr>
      <w:r>
        <w:rPr>
          <w:rFonts w:ascii="Times New Roman" w:hAnsi="Times New Roman" w:eastAsia="华文仿宋" w:cs="Times New Roman"/>
          <w:sz w:val="30"/>
          <w:szCs w:val="30"/>
        </w:rPr>
        <w:t>优化养殖生态环境监测体系，尽快完成水域滩涂环境承载力动态监测与预警体系顶层设计。对养殖容量以及区域环境容量等开展评估，研究建立水资源环境承载状态预测预警方法和模型。充分利用自然资源优势和资源开发潜力、旅游资源以及水产养殖资源，加快水上观光、垂钓、浴场开发等发展。加快渔业产业调整步伐，控制滩涂养殖规模。</w:t>
      </w:r>
    </w:p>
    <w:p>
      <w:pPr>
        <w:ind w:firstLine="596" w:firstLineChars="198"/>
        <w:rPr>
          <w:rFonts w:ascii="Times New Roman" w:hAnsi="Times New Roman" w:eastAsia="华文仿宋" w:cs="Times New Roman"/>
          <w:b/>
          <w:sz w:val="30"/>
          <w:szCs w:val="30"/>
        </w:rPr>
      </w:pPr>
      <w:r>
        <w:rPr>
          <w:rFonts w:ascii="Times New Roman" w:hAnsi="Times New Roman" w:eastAsia="华文仿宋" w:cs="Times New Roman"/>
          <w:b/>
          <w:sz w:val="30"/>
          <w:szCs w:val="30"/>
        </w:rPr>
        <w:t>第五条  创新基于水域滩涂承载力的养殖综合管理机制</w:t>
      </w:r>
    </w:p>
    <w:p>
      <w:pPr>
        <w:ind w:firstLine="576"/>
        <w:rPr>
          <w:rFonts w:ascii="Times New Roman" w:hAnsi="Times New Roman" w:eastAsia="华文仿宋" w:cs="Times New Roman"/>
          <w:sz w:val="30"/>
          <w:szCs w:val="30"/>
        </w:rPr>
      </w:pPr>
      <w:r>
        <w:rPr>
          <w:rFonts w:ascii="Times New Roman" w:hAnsi="Times New Roman" w:eastAsia="华文仿宋" w:cs="Times New Roman"/>
          <w:sz w:val="30"/>
          <w:szCs w:val="30"/>
        </w:rPr>
        <w:t>以水域滩涂承载力为主线，将产业布局、用海</w:t>
      </w:r>
      <w:r>
        <w:rPr>
          <w:rFonts w:hint="eastAsia" w:ascii="Times New Roman" w:hAnsi="Times New Roman" w:eastAsia="华文仿宋" w:cs="Times New Roman"/>
          <w:sz w:val="30"/>
          <w:szCs w:val="30"/>
        </w:rPr>
        <w:t>（</w:t>
      </w:r>
      <w:r>
        <w:rPr>
          <w:rFonts w:ascii="Times New Roman" w:hAnsi="Times New Roman" w:eastAsia="华文仿宋" w:cs="Times New Roman"/>
          <w:sz w:val="30"/>
          <w:szCs w:val="30"/>
        </w:rPr>
        <w:t>地</w:t>
      </w:r>
      <w:r>
        <w:rPr>
          <w:rFonts w:hint="eastAsia" w:ascii="Times New Roman" w:hAnsi="Times New Roman" w:eastAsia="华文仿宋" w:cs="Times New Roman"/>
          <w:sz w:val="30"/>
          <w:szCs w:val="30"/>
        </w:rPr>
        <w:t>）</w:t>
      </w:r>
      <w:r>
        <w:rPr>
          <w:rFonts w:ascii="Times New Roman" w:hAnsi="Times New Roman" w:eastAsia="华文仿宋" w:cs="Times New Roman"/>
          <w:sz w:val="30"/>
          <w:szCs w:val="30"/>
        </w:rPr>
        <w:t>规划、环境准入、总量控制、生态补偿等监督管理活动连接起来。以承载力为产业布局和用海</w:t>
      </w:r>
      <w:r>
        <w:rPr>
          <w:rFonts w:hint="eastAsia" w:ascii="Times New Roman" w:hAnsi="Times New Roman" w:eastAsia="华文仿宋" w:cs="Times New Roman"/>
          <w:sz w:val="30"/>
          <w:szCs w:val="30"/>
        </w:rPr>
        <w:t>（</w:t>
      </w:r>
      <w:r>
        <w:rPr>
          <w:rFonts w:ascii="Times New Roman" w:hAnsi="Times New Roman" w:eastAsia="华文仿宋" w:cs="Times New Roman"/>
          <w:sz w:val="30"/>
          <w:szCs w:val="30"/>
        </w:rPr>
        <w:t>地</w:t>
      </w:r>
      <w:r>
        <w:rPr>
          <w:rFonts w:hint="eastAsia" w:ascii="Times New Roman" w:hAnsi="Times New Roman" w:eastAsia="华文仿宋" w:cs="Times New Roman"/>
          <w:sz w:val="30"/>
          <w:szCs w:val="30"/>
        </w:rPr>
        <w:t>）</w:t>
      </w:r>
      <w:r>
        <w:rPr>
          <w:rFonts w:ascii="Times New Roman" w:hAnsi="Times New Roman" w:eastAsia="华文仿宋" w:cs="Times New Roman"/>
          <w:sz w:val="30"/>
          <w:szCs w:val="30"/>
        </w:rPr>
        <w:t>规划的依据，以布局规划作为环境准入和总量控制的准绳，以准入和控制机制来带动生态补偿的落实，建立创新型养殖综合管理链条机制。</w:t>
      </w:r>
    </w:p>
    <w:p>
      <w:pPr>
        <w:pStyle w:val="2"/>
        <w:spacing w:line="360" w:lineRule="auto"/>
        <w:jc w:val="center"/>
        <w:rPr>
          <w:rFonts w:ascii="Times New Roman" w:hAnsi="Times New Roman" w:eastAsia="黑体" w:cs="Times New Roman"/>
          <w:b w:val="0"/>
          <w:sz w:val="32"/>
        </w:rPr>
      </w:pPr>
      <w:bookmarkStart w:id="17" w:name="_Toc529634096"/>
      <w:r>
        <w:rPr>
          <w:rFonts w:ascii="Times New Roman" w:hAnsi="Times New Roman" w:eastAsia="黑体" w:cs="Times New Roman"/>
          <w:b w:val="0"/>
          <w:sz w:val="32"/>
        </w:rPr>
        <w:t>第三章  养殖水域功能区划</w:t>
      </w:r>
      <w:bookmarkEnd w:id="17"/>
    </w:p>
    <w:p>
      <w:pPr>
        <w:pStyle w:val="3"/>
        <w:jc w:val="center"/>
        <w:rPr>
          <w:rFonts w:ascii="Times New Roman" w:hAnsi="Times New Roman"/>
          <w:b w:val="0"/>
        </w:rPr>
      </w:pPr>
      <w:bookmarkStart w:id="18" w:name="_Toc529634097"/>
      <w:r>
        <w:rPr>
          <w:rFonts w:ascii="Times New Roman" w:hAnsi="Times New Roman"/>
          <w:b w:val="0"/>
        </w:rPr>
        <w:t>第九节  功能区概述</w:t>
      </w:r>
      <w:bookmarkEnd w:id="18"/>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规划将水域和滩涂等养殖水域功能区划分为禁止养殖区、限制养殖区和养殖区三类。</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禁止养殖区指禁止开展一切水产养殖活动的区域，主要包括以下4种类型：（1）禁止在饮用水水源地一级保护区、自然保护区核心区和缓冲区、国家级水产种质资源保护区核心区和未经批准利用的无居民海岛等重点生态功能区开展水产养殖；（2）禁止在港口、航道、行洪区、河道堤防安全保护区等公共设施安全区域开展水产养殖；（3）禁止在有毒有害物质超过规定标准的水体开展水产养殖；（4）法律法规规定的其他禁止水产养殖的区域。</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限制养殖区进行限制性的开展水产养殖活动，主要有以下3种情况：（1）限制在饮用水水源地二级保护区、自然保护区实验区和外围保护地带、国家级水产种质资源保护区实验区、风景名胜区、依法确定为开展旅游活动的可利用无居民海岛及周边海域生态功能区开展水产养殖活动，在以上区域进行水产养殖的应采取污染防治措施，污染物排放不得超过国家和地方规定的污染物排放标准；（2）限制在重点湖泊水库及近岸海域公共自然水域开展围栏网箱养殖，重点湖泊水库饲养滤食性鱼类的网箱围栏总面积不超过水域面积的1%，饲养吃食性鱼类的网箱围栏总面积不超过水域面积的0.25%；重点近岸海域浮动式网箱面积不超过海区易养面积的10%，各地应根据养殖水域滩涂生态保护实际需要确定重点湖泊水库及近岸海域，确定不高于农业部标准的本地区可养比例；（3）法律法规规定的其他限制养殖区。</w:t>
      </w:r>
    </w:p>
    <w:p>
      <w:pPr>
        <w:ind w:firstLine="600" w:firstLineChars="200"/>
        <w:rPr>
          <w:rFonts w:ascii="Times New Roman" w:hAnsi="Times New Roman" w:eastAsia="华文仿宋" w:cs="Times New Roman"/>
          <w:sz w:val="30"/>
          <w:szCs w:val="30"/>
        </w:rPr>
      </w:pPr>
      <w:r>
        <w:rPr>
          <w:rFonts w:ascii="Times New Roman" w:hAnsi="Times New Roman" w:eastAsia="华文仿宋" w:cs="Times New Roman"/>
          <w:sz w:val="30"/>
          <w:szCs w:val="30"/>
        </w:rPr>
        <w:t>养殖区是指允许在其规定范围内进行水产养殖活动的区域，可分为海水养殖区和淡水养殖区。海水养殖区包括围海养殖区和开放式养殖区。围海养殖区是指在海滩和浅海上建造围堤阻隔海水，在围区内进行海水养殖的区域；开放式养殖区包括底播养殖区、设施养殖区与人工鱼礁建设区。淡水养殖区包括池塘养殖区、湖泊养殖区、水库养殖区和稻田综合养殖区，其中池塘养殖区包括普通池塘养殖和工厂化设施养殖等，水库养殖主要指小规模网箱养殖等。</w:t>
      </w:r>
    </w:p>
    <w:p>
      <w:pPr>
        <w:pStyle w:val="3"/>
        <w:adjustRightInd w:val="0"/>
        <w:snapToGrid w:val="0"/>
        <w:spacing w:afterLines="50" w:line="415" w:lineRule="auto"/>
        <w:jc w:val="center"/>
        <w:rPr>
          <w:rFonts w:ascii="Times New Roman" w:hAnsi="Times New Roman"/>
          <w:b w:val="0"/>
        </w:rPr>
      </w:pPr>
      <w:bookmarkStart w:id="19" w:name="_Toc529634098"/>
      <w:r>
        <w:rPr>
          <w:rFonts w:ascii="Times New Roman" w:hAnsi="Times New Roman"/>
          <w:b w:val="0"/>
        </w:rPr>
        <w:t>第十节  禁止养殖区</w:t>
      </w:r>
      <w:bookmarkEnd w:id="19"/>
    </w:p>
    <w:p>
      <w:pPr>
        <w:adjustRightInd w:val="0"/>
        <w:snapToGrid w:val="0"/>
        <w:spacing w:line="360" w:lineRule="auto"/>
        <w:ind w:firstLine="600" w:firstLineChars="200"/>
        <w:rPr>
          <w:rFonts w:ascii="Times New Roman" w:hAnsi="Times New Roman" w:eastAsia="华文仿宋" w:cs="Times New Roman"/>
          <w:sz w:val="30"/>
          <w:szCs w:val="30"/>
        </w:rPr>
      </w:pPr>
      <w:r>
        <w:rPr>
          <w:rFonts w:ascii="Times New Roman" w:hAnsi="华文仿宋" w:eastAsia="华文仿宋" w:cs="Times New Roman"/>
          <w:sz w:val="30"/>
          <w:szCs w:val="30"/>
        </w:rPr>
        <w:t>庄河市养殖水域滩涂规划禁止养殖区面积为</w:t>
      </w:r>
      <w:r>
        <w:rPr>
          <w:rFonts w:ascii="Times New Roman" w:hAnsi="Times New Roman" w:eastAsia="华文仿宋" w:cs="Times New Roman"/>
          <w:sz w:val="30"/>
          <w:szCs w:val="30"/>
        </w:rPr>
        <w:t>7187.69</w:t>
      </w:r>
      <w:r>
        <w:rPr>
          <w:rFonts w:ascii="Times New Roman" w:hAnsi="华文仿宋" w:eastAsia="华文仿宋" w:cs="Times New Roman"/>
          <w:sz w:val="30"/>
          <w:szCs w:val="30"/>
        </w:rPr>
        <w:t>公顷，主要为陆域饮用水水源地一级保护区区域及庄河市集中式饮用水水源地区域，主要有碧流河水库、转角楼水库、朱隈水库和英纳河水库等；海域禁止养殖区范围遵照《辽宁省海洋功能区划》执行。</w:t>
      </w:r>
    </w:p>
    <w:p>
      <w:pPr>
        <w:pStyle w:val="3"/>
        <w:adjustRightInd w:val="0"/>
        <w:snapToGrid w:val="0"/>
        <w:spacing w:afterLines="50" w:line="415" w:lineRule="auto"/>
        <w:jc w:val="center"/>
        <w:rPr>
          <w:rFonts w:ascii="Times New Roman" w:hAnsi="Times New Roman"/>
          <w:b w:val="0"/>
        </w:rPr>
      </w:pPr>
      <w:bookmarkStart w:id="20" w:name="_Toc529634099"/>
      <w:r>
        <w:rPr>
          <w:rFonts w:ascii="Times New Roman" w:hAnsi="Times New Roman"/>
          <w:b w:val="0"/>
        </w:rPr>
        <w:t>第十一节  限制养殖区</w:t>
      </w:r>
      <w:bookmarkEnd w:id="20"/>
    </w:p>
    <w:p>
      <w:pPr>
        <w:adjustRightInd w:val="0"/>
        <w:snapToGrid w:val="0"/>
        <w:spacing w:line="360" w:lineRule="auto"/>
        <w:ind w:firstLine="600" w:firstLineChars="200"/>
        <w:rPr>
          <w:rFonts w:ascii="Times New Roman" w:hAnsi="Times New Roman" w:eastAsia="华文仿宋" w:cs="Times New Roman"/>
          <w:sz w:val="30"/>
          <w:szCs w:val="30"/>
        </w:rPr>
      </w:pPr>
      <w:r>
        <w:rPr>
          <w:rFonts w:ascii="Times New Roman" w:hAnsi="华文仿宋" w:eastAsia="华文仿宋" w:cs="Times New Roman"/>
          <w:sz w:val="30"/>
          <w:szCs w:val="30"/>
        </w:rPr>
        <w:t>庄河市养殖水域滩涂规划限制养殖区面积为</w:t>
      </w:r>
      <w:r>
        <w:rPr>
          <w:rFonts w:ascii="Times New Roman" w:hAnsi="Times New Roman" w:eastAsia="华文仿宋" w:cs="Times New Roman"/>
          <w:sz w:val="30"/>
          <w:szCs w:val="30"/>
        </w:rPr>
        <w:t>3134.34</w:t>
      </w:r>
      <w:r>
        <w:rPr>
          <w:rFonts w:ascii="Times New Roman" w:hAnsi="华文仿宋" w:eastAsia="华文仿宋" w:cs="Times New Roman"/>
          <w:sz w:val="30"/>
          <w:szCs w:val="30"/>
        </w:rPr>
        <w:t>公顷，主要为碧流河、英纳河、沙河等河流和水库，其中河流面积为</w:t>
      </w:r>
      <w:r>
        <w:rPr>
          <w:rFonts w:ascii="Times New Roman" w:hAnsi="Times New Roman" w:eastAsia="华文仿宋" w:cs="Times New Roman"/>
          <w:sz w:val="30"/>
          <w:szCs w:val="30"/>
        </w:rPr>
        <w:t>2741.86</w:t>
      </w:r>
      <w:r>
        <w:rPr>
          <w:rFonts w:ascii="Times New Roman" w:hAnsi="华文仿宋" w:eastAsia="华文仿宋" w:cs="Times New Roman"/>
          <w:sz w:val="30"/>
          <w:szCs w:val="30"/>
        </w:rPr>
        <w:t>公顷，永记水库面积为</w:t>
      </w:r>
      <w:r>
        <w:rPr>
          <w:rFonts w:ascii="Times New Roman" w:hAnsi="Times New Roman" w:eastAsia="华文仿宋" w:cs="Times New Roman"/>
          <w:sz w:val="30"/>
          <w:szCs w:val="30"/>
        </w:rPr>
        <w:t>392.48</w:t>
      </w:r>
      <w:r>
        <w:rPr>
          <w:rFonts w:ascii="Times New Roman" w:hAnsi="华文仿宋" w:eastAsia="华文仿宋" w:cs="Times New Roman"/>
          <w:sz w:val="30"/>
          <w:szCs w:val="30"/>
        </w:rPr>
        <w:t>公顷；海域限制养殖区范围遵照《辽宁省海洋功能区划》执行。</w:t>
      </w:r>
    </w:p>
    <w:p>
      <w:pPr>
        <w:pStyle w:val="3"/>
        <w:adjustRightInd w:val="0"/>
        <w:snapToGrid w:val="0"/>
        <w:spacing w:afterLines="50" w:line="415" w:lineRule="auto"/>
        <w:jc w:val="center"/>
        <w:rPr>
          <w:rFonts w:ascii="Times New Roman" w:hAnsi="Times New Roman"/>
          <w:b w:val="0"/>
        </w:rPr>
      </w:pPr>
      <w:bookmarkStart w:id="21" w:name="_Toc529634100"/>
      <w:r>
        <w:rPr>
          <w:rFonts w:ascii="Times New Roman" w:hAnsi="Times New Roman"/>
          <w:b w:val="0"/>
        </w:rPr>
        <w:t>第十二节  养殖区</w:t>
      </w:r>
      <w:bookmarkEnd w:id="21"/>
    </w:p>
    <w:p>
      <w:pPr>
        <w:ind w:firstLine="570" w:firstLineChars="190"/>
        <w:rPr>
          <w:rFonts w:ascii="Times New Roman" w:hAnsi="Times New Roman" w:eastAsia="华文仿宋" w:cs="Times New Roman"/>
          <w:color w:val="FF0000"/>
          <w:sz w:val="30"/>
          <w:szCs w:val="30"/>
        </w:rPr>
      </w:pPr>
      <w:r>
        <w:rPr>
          <w:rFonts w:ascii="Times New Roman" w:hAnsi="华文仿宋" w:eastAsia="华文仿宋" w:cs="Times New Roman"/>
          <w:sz w:val="30"/>
          <w:szCs w:val="30"/>
        </w:rPr>
        <w:t>庄河市养殖水域滩涂规划养殖区面积为</w:t>
      </w:r>
      <w:r>
        <w:rPr>
          <w:rFonts w:ascii="Times New Roman" w:hAnsi="Times New Roman" w:eastAsia="华文仿宋" w:cs="Times New Roman"/>
          <w:sz w:val="30"/>
          <w:szCs w:val="30"/>
        </w:rPr>
        <w:t>202085.55</w:t>
      </w:r>
      <w:r>
        <w:rPr>
          <w:rFonts w:ascii="Times New Roman" w:hAnsi="华文仿宋" w:eastAsia="华文仿宋" w:cs="Times New Roman"/>
          <w:sz w:val="30"/>
          <w:szCs w:val="30"/>
        </w:rPr>
        <w:t>公顷。陆域部分养殖区域面积为</w:t>
      </w:r>
      <w:r>
        <w:rPr>
          <w:rFonts w:ascii="Times New Roman" w:hAnsi="Times New Roman" w:eastAsia="华文仿宋" w:cs="Times New Roman"/>
          <w:sz w:val="30"/>
          <w:szCs w:val="30"/>
        </w:rPr>
        <w:t>32272.28</w:t>
      </w:r>
      <w:r>
        <w:rPr>
          <w:rFonts w:ascii="Times New Roman" w:hAnsi="华文仿宋" w:eastAsia="华文仿宋" w:cs="Times New Roman"/>
          <w:sz w:val="30"/>
          <w:szCs w:val="30"/>
        </w:rPr>
        <w:t>公顷，主要分布在庄河市青堆镇、栗子房镇和大郑镇沿海向陆区域，规划分区分为池塘养殖区、湖泊养殖区和稻田综合养殖区，面积分别为</w:t>
      </w:r>
      <w:r>
        <w:rPr>
          <w:rFonts w:ascii="Times New Roman" w:hAnsi="Times New Roman" w:eastAsia="华文仿宋" w:cs="Times New Roman"/>
          <w:sz w:val="30"/>
          <w:szCs w:val="30"/>
        </w:rPr>
        <w:t>2115.07</w:t>
      </w:r>
      <w:r>
        <w:rPr>
          <w:rFonts w:ascii="Times New Roman" w:hAnsi="华文仿宋" w:eastAsia="华文仿宋" w:cs="Times New Roman"/>
          <w:sz w:val="30"/>
          <w:szCs w:val="30"/>
        </w:rPr>
        <w:t>公顷、</w:t>
      </w:r>
      <w:r>
        <w:rPr>
          <w:rFonts w:ascii="Times New Roman" w:hAnsi="Times New Roman" w:eastAsia="华文仿宋" w:cs="Times New Roman"/>
          <w:sz w:val="30"/>
          <w:szCs w:val="30"/>
        </w:rPr>
        <w:t>10.04</w:t>
      </w:r>
      <w:r>
        <w:rPr>
          <w:rFonts w:ascii="Times New Roman" w:hAnsi="华文仿宋" w:eastAsia="华文仿宋" w:cs="Times New Roman"/>
          <w:sz w:val="30"/>
          <w:szCs w:val="30"/>
        </w:rPr>
        <w:t>公顷和</w:t>
      </w:r>
      <w:r>
        <w:rPr>
          <w:rFonts w:ascii="Times New Roman" w:hAnsi="Times New Roman" w:eastAsia="华文仿宋" w:cs="Times New Roman"/>
          <w:sz w:val="30"/>
          <w:szCs w:val="30"/>
        </w:rPr>
        <w:t>30147.17</w:t>
      </w:r>
      <w:r>
        <w:rPr>
          <w:rFonts w:ascii="Times New Roman" w:hAnsi="华文仿宋" w:eastAsia="华文仿宋" w:cs="Times New Roman"/>
          <w:sz w:val="30"/>
          <w:szCs w:val="30"/>
        </w:rPr>
        <w:t>公顷。海域部分养殖区依据《辽宁省海洋功能区划》中农渔业区范围进行规划，其中庄河海上风电场区域不能进行规划，海域部分养殖区域面积为</w:t>
      </w:r>
      <w:r>
        <w:rPr>
          <w:rFonts w:ascii="Times New Roman" w:hAnsi="Times New Roman" w:eastAsia="华文仿宋" w:cs="Times New Roman"/>
          <w:sz w:val="30"/>
          <w:szCs w:val="30"/>
        </w:rPr>
        <w:t>169813.27</w:t>
      </w:r>
      <w:r>
        <w:rPr>
          <w:rFonts w:ascii="Times New Roman" w:hAnsi="华文仿宋" w:eastAsia="华文仿宋" w:cs="Times New Roman"/>
          <w:sz w:val="30"/>
          <w:szCs w:val="30"/>
        </w:rPr>
        <w:t>公顷，分布在庄河沿海距陆</w:t>
      </w:r>
      <w:r>
        <w:rPr>
          <w:rFonts w:ascii="Times New Roman" w:hAnsi="Times New Roman" w:eastAsia="华文仿宋" w:cs="Times New Roman"/>
          <w:sz w:val="30"/>
          <w:szCs w:val="30"/>
        </w:rPr>
        <w:t>50</w:t>
      </w:r>
      <w:r>
        <w:rPr>
          <w:rFonts w:ascii="Times New Roman" w:hAnsi="华文仿宋" w:eastAsia="华文仿宋" w:cs="Times New Roman"/>
          <w:sz w:val="30"/>
          <w:szCs w:val="30"/>
        </w:rPr>
        <w:t>公里以内海域，其中，庄河海域近岸渔业区面积较小，仅青堆子湾沿海距陆</w:t>
      </w:r>
      <w:r>
        <w:rPr>
          <w:rFonts w:ascii="Times New Roman" w:hAnsi="Times New Roman" w:eastAsia="华文仿宋" w:cs="Times New Roman"/>
          <w:sz w:val="30"/>
          <w:szCs w:val="30"/>
        </w:rPr>
        <w:t>5</w:t>
      </w:r>
      <w:r>
        <w:rPr>
          <w:rFonts w:ascii="Times New Roman" w:hAnsi="华文仿宋" w:eastAsia="华文仿宋" w:cs="Times New Roman"/>
          <w:sz w:val="30"/>
          <w:szCs w:val="30"/>
        </w:rPr>
        <w:t>公里以内海域可进行围海养殖，围海养殖维持现状，不可进行新增围海养殖；大郑镇至栗子房镇沿海距陆</w:t>
      </w:r>
      <w:r>
        <w:rPr>
          <w:rFonts w:ascii="Times New Roman" w:hAnsi="Times New Roman" w:eastAsia="华文仿宋" w:cs="Times New Roman"/>
          <w:sz w:val="30"/>
          <w:szCs w:val="30"/>
        </w:rPr>
        <w:t>5</w:t>
      </w:r>
      <w:r>
        <w:rPr>
          <w:rFonts w:ascii="Times New Roman" w:hAnsi="华文仿宋" w:eastAsia="华文仿宋" w:cs="Times New Roman"/>
          <w:sz w:val="30"/>
          <w:szCs w:val="30"/>
        </w:rPr>
        <w:t>公里以外，</w:t>
      </w:r>
      <w:r>
        <w:rPr>
          <w:rFonts w:ascii="Times New Roman" w:hAnsi="Times New Roman" w:eastAsia="华文仿宋" w:cs="Times New Roman"/>
          <w:sz w:val="30"/>
          <w:szCs w:val="30"/>
        </w:rPr>
        <w:t>50</w:t>
      </w:r>
      <w:r>
        <w:rPr>
          <w:rFonts w:ascii="Times New Roman" w:hAnsi="华文仿宋" w:eastAsia="华文仿宋" w:cs="Times New Roman"/>
          <w:sz w:val="30"/>
          <w:szCs w:val="30"/>
        </w:rPr>
        <w:t>公里以内海域划为底播增养殖区、设施渔业区和深水养殖区。</w:t>
      </w:r>
    </w:p>
    <w:p>
      <w:pPr>
        <w:ind w:firstLine="600" w:firstLineChars="200"/>
        <w:rPr>
          <w:rFonts w:ascii="Times New Roman" w:hAnsi="Times New Roman" w:eastAsia="华文仿宋" w:cs="Times New Roman"/>
          <w:sz w:val="30"/>
          <w:szCs w:val="30"/>
        </w:rPr>
      </w:pPr>
      <w:r>
        <w:rPr>
          <w:rFonts w:ascii="Times New Roman" w:hAnsi="华文仿宋" w:eastAsia="华文仿宋" w:cs="Times New Roman"/>
          <w:sz w:val="30"/>
          <w:szCs w:val="30"/>
        </w:rPr>
        <w:t>规划建议围海养殖区养殖的品种主要为刺参，该区域距岸较近，河口附近海域水质更新速度快，生物饵料丰富，适宜刺参的养殖，围海养殖池塘底部为岩礁或泥沙，刺参苗种培育效果良好，在养殖过程中，应注意对生态环境和资源环境的保护，实行生态养殖；底播增养殖区主要养殖品种为菲律宾蛤仔、魁蚶、生蚶、螺类等；设施渔业区开展人工鱼礁建设、浮筏养殖建设和网箱养殖建设，养殖品种以海参为主、兼顾扇贝、海螺等；深水养殖区主要开展深水网箱养殖，养殖品种以黄条鰤、红鳍东方鲀、牙鲆等。</w:t>
      </w:r>
    </w:p>
    <w:p>
      <w:pPr>
        <w:ind w:firstLine="600" w:firstLineChars="200"/>
        <w:rPr>
          <w:rFonts w:ascii="Times New Roman" w:hAnsi="Times New Roman" w:eastAsia="仿宋_GB2312" w:cs="Times New Roman"/>
          <w:sz w:val="30"/>
          <w:szCs w:val="30"/>
        </w:rPr>
      </w:pPr>
      <w:r>
        <w:rPr>
          <w:rFonts w:ascii="Times New Roman" w:hAnsi="华文仿宋" w:eastAsia="华文仿宋" w:cs="Times New Roman"/>
          <w:sz w:val="30"/>
          <w:szCs w:val="30"/>
        </w:rPr>
        <w:t>规划建议陆地养殖区位于陆上的水库、池塘和稻田综合养殖区，养殖品种以鱼类为主。</w:t>
      </w:r>
    </w:p>
    <w:p>
      <w:pPr>
        <w:pStyle w:val="2"/>
        <w:spacing w:line="360" w:lineRule="auto"/>
        <w:jc w:val="center"/>
        <w:rPr>
          <w:rFonts w:ascii="Times New Roman" w:hAnsi="Times New Roman" w:eastAsia="黑体" w:cs="Times New Roman"/>
          <w:b w:val="0"/>
          <w:sz w:val="32"/>
        </w:rPr>
      </w:pPr>
      <w:bookmarkStart w:id="22" w:name="_Toc529634101"/>
      <w:r>
        <w:rPr>
          <w:rFonts w:ascii="Times New Roman" w:hAnsi="Times New Roman" w:eastAsia="黑体" w:cs="Times New Roman"/>
          <w:b w:val="0"/>
          <w:sz w:val="32"/>
        </w:rPr>
        <w:t>第四章  保障措施</w:t>
      </w:r>
      <w:bookmarkEnd w:id="22"/>
    </w:p>
    <w:p>
      <w:pPr>
        <w:pStyle w:val="3"/>
        <w:adjustRightInd w:val="0"/>
        <w:snapToGrid w:val="0"/>
        <w:spacing w:afterLines="50" w:line="415" w:lineRule="auto"/>
        <w:jc w:val="center"/>
        <w:rPr>
          <w:rFonts w:ascii="Times New Roman" w:hAnsi="Times New Roman"/>
          <w:b w:val="0"/>
        </w:rPr>
      </w:pPr>
      <w:bookmarkStart w:id="23" w:name="_Toc529634102"/>
      <w:r>
        <w:rPr>
          <w:rFonts w:ascii="Times New Roman" w:hAnsi="Times New Roman"/>
          <w:b w:val="0"/>
        </w:rPr>
        <w:t>第十三节  加强组织领导</w:t>
      </w:r>
      <w:bookmarkEnd w:id="23"/>
    </w:p>
    <w:p>
      <w:pPr>
        <w:pStyle w:val="13"/>
        <w:spacing w:before="0" w:beforeAutospacing="0" w:after="0" w:afterAutospacing="0" w:line="360" w:lineRule="auto"/>
        <w:ind w:firstLine="639" w:firstLineChars="213"/>
        <w:rPr>
          <w:rFonts w:ascii="Times New Roman" w:hAnsi="Times New Roman" w:eastAsia="华文仿宋" w:cs="Times New Roman"/>
          <w:kern w:val="2"/>
          <w:sz w:val="30"/>
          <w:szCs w:val="30"/>
        </w:rPr>
      </w:pPr>
      <w:r>
        <w:rPr>
          <w:rFonts w:ascii="Times New Roman" w:hAnsi="Times New Roman" w:eastAsia="华文仿宋" w:cs="Times New Roman"/>
          <w:kern w:val="2"/>
          <w:sz w:val="30"/>
          <w:szCs w:val="30"/>
        </w:rPr>
        <w:t>庄河市海洋与渔业局依据渔业基础地位、公益性产业的特点，负责保障和推动规划实施。不断完善以养殖证为基础的水产养殖管理制度，推动水产养殖业逐步走向法制化轨道，用法律手段保护渔农民的合法权益、保护养殖水域和资源。规划实施过程中，加强与发改、城建、交通、国土、水利、旅游及环保等部门沟通协调，根据经济社会发展和规划实施过程中出现的新问题及新趋势，研究提出规划调整意见，更好地发挥规划作用。</w:t>
      </w:r>
    </w:p>
    <w:p>
      <w:pPr>
        <w:pStyle w:val="3"/>
        <w:adjustRightInd w:val="0"/>
        <w:snapToGrid w:val="0"/>
        <w:spacing w:afterLines="50" w:line="415" w:lineRule="auto"/>
        <w:jc w:val="center"/>
        <w:rPr>
          <w:rFonts w:ascii="Times New Roman" w:hAnsi="Times New Roman"/>
          <w:b w:val="0"/>
        </w:rPr>
      </w:pPr>
      <w:bookmarkStart w:id="24" w:name="_Toc529634103"/>
      <w:r>
        <w:rPr>
          <w:rFonts w:ascii="Times New Roman" w:hAnsi="Times New Roman"/>
          <w:b w:val="0"/>
        </w:rPr>
        <w:t>第十四节  强化监督检查</w:t>
      </w:r>
      <w:bookmarkEnd w:id="24"/>
    </w:p>
    <w:p>
      <w:pPr>
        <w:pStyle w:val="13"/>
        <w:spacing w:before="0" w:beforeAutospacing="0" w:after="0" w:afterAutospacing="0" w:line="360" w:lineRule="auto"/>
        <w:ind w:firstLine="639" w:firstLineChars="213"/>
        <w:rPr>
          <w:rFonts w:ascii="Times New Roman" w:hAnsi="Times New Roman" w:eastAsia="华文仿宋" w:cs="Times New Roman"/>
          <w:sz w:val="30"/>
          <w:szCs w:val="30"/>
        </w:rPr>
      </w:pPr>
      <w:r>
        <w:rPr>
          <w:rFonts w:ascii="Times New Roman" w:hAnsi="Times New Roman" w:eastAsia="华文仿宋" w:cs="Times New Roman"/>
          <w:sz w:val="30"/>
          <w:szCs w:val="30"/>
        </w:rPr>
        <w:t>加强执法监督管理，强化养殖水域生态环境监管力度，及时发现和处理养殖水域污染事件，保护养殖渔（农）民的合法权益。渔政部门履行养殖环节执法监督职责，对养殖生产中苗种、药物、饲料的使用及质量等方面实施执法监督；对损害养殖渔（农）民利益的行为依法予以打击，维护正常生产秩序。</w:t>
      </w:r>
    </w:p>
    <w:p>
      <w:pPr>
        <w:pStyle w:val="3"/>
        <w:adjustRightInd w:val="0"/>
        <w:snapToGrid w:val="0"/>
        <w:spacing w:afterLines="50" w:line="415" w:lineRule="auto"/>
        <w:jc w:val="center"/>
        <w:rPr>
          <w:rFonts w:ascii="Times New Roman" w:hAnsi="Times New Roman"/>
          <w:b w:val="0"/>
        </w:rPr>
      </w:pPr>
      <w:bookmarkStart w:id="25" w:name="_Toc529634104"/>
      <w:r>
        <w:rPr>
          <w:rFonts w:ascii="Times New Roman" w:hAnsi="Times New Roman"/>
          <w:b w:val="0"/>
        </w:rPr>
        <w:t>第十五节  完善生态保护</w:t>
      </w:r>
      <w:bookmarkEnd w:id="25"/>
    </w:p>
    <w:p>
      <w:pPr>
        <w:ind w:firstLine="600" w:firstLineChars="200"/>
        <w:rPr>
          <w:rFonts w:ascii="Times New Roman" w:hAnsi="Times New Roman" w:eastAsia="华文仿宋" w:cs="Times New Roman"/>
          <w:kern w:val="0"/>
          <w:sz w:val="30"/>
          <w:szCs w:val="30"/>
        </w:rPr>
      </w:pPr>
      <w:r>
        <w:rPr>
          <w:rFonts w:ascii="Times New Roman" w:hAnsi="Times New Roman" w:eastAsia="华文仿宋" w:cs="Times New Roman"/>
          <w:kern w:val="0"/>
          <w:sz w:val="30"/>
          <w:szCs w:val="30"/>
        </w:rPr>
        <w:t>加大渔业水源污染的防治力度，通过规划实施，既要防止外部环境污染对水产养殖的伤害，也要严格控制养殖活动对环境的影响。实施养殖容量控制制度，控制养殖规模、密度，推广健康生态养殖模式，保护和改善养殖水域生态环境。</w:t>
      </w:r>
    </w:p>
    <w:p>
      <w:pPr>
        <w:pStyle w:val="3"/>
        <w:adjustRightInd w:val="0"/>
        <w:snapToGrid w:val="0"/>
        <w:spacing w:afterLines="50" w:line="415" w:lineRule="auto"/>
        <w:jc w:val="center"/>
        <w:rPr>
          <w:rFonts w:ascii="Times New Roman" w:hAnsi="Times New Roman"/>
          <w:b w:val="0"/>
        </w:rPr>
      </w:pPr>
      <w:bookmarkStart w:id="26" w:name="_Toc529634105"/>
      <w:r>
        <w:rPr>
          <w:rFonts w:ascii="Times New Roman" w:hAnsi="Times New Roman"/>
          <w:b w:val="0"/>
        </w:rPr>
        <w:t xml:space="preserve">第十六节  </w:t>
      </w:r>
      <w:bookmarkEnd w:id="26"/>
      <w:r>
        <w:rPr>
          <w:rFonts w:ascii="Times New Roman" w:hAnsi="Times New Roman"/>
          <w:b w:val="0"/>
        </w:rPr>
        <w:t>加强科教宣传</w:t>
      </w:r>
    </w:p>
    <w:p>
      <w:pPr>
        <w:ind w:firstLine="600" w:firstLineChars="200"/>
        <w:jc w:val="left"/>
        <w:rPr>
          <w:rFonts w:ascii="Times New Roman" w:hAnsi="Times New Roman" w:eastAsia="华文仿宋" w:cs="Times New Roman"/>
          <w:kern w:val="0"/>
          <w:sz w:val="30"/>
          <w:szCs w:val="30"/>
        </w:rPr>
      </w:pPr>
      <w:r>
        <w:rPr>
          <w:rFonts w:ascii="Times New Roman" w:hAnsi="Times New Roman" w:eastAsia="华文仿宋" w:cs="Times New Roman"/>
          <w:kern w:val="0"/>
          <w:sz w:val="30"/>
          <w:szCs w:val="30"/>
        </w:rPr>
        <w:t>加大对水域滩涂养殖相关科学研究的支持力度，以需求为导向，组织开展水域滩涂养殖共性、关键、前瞻技术研发，加强科技成果共享和转化，推广成熟先进的适用技术。拓宽宣传渠道，加强宣传力度，为规划实施营造良好的社会氛围，提高执行规划的自觉性。</w:t>
      </w:r>
    </w:p>
    <w:p>
      <w:pPr>
        <w:pStyle w:val="3"/>
        <w:adjustRightInd w:val="0"/>
        <w:snapToGrid w:val="0"/>
        <w:spacing w:afterLines="50" w:line="415" w:lineRule="auto"/>
        <w:jc w:val="center"/>
        <w:rPr>
          <w:rFonts w:ascii="Times New Roman" w:hAnsi="Times New Roman"/>
          <w:b w:val="0"/>
        </w:rPr>
      </w:pPr>
      <w:bookmarkStart w:id="27" w:name="_Toc508196607"/>
      <w:r>
        <w:rPr>
          <w:rFonts w:ascii="Times New Roman" w:hAnsi="Times New Roman"/>
          <w:b w:val="0"/>
        </w:rPr>
        <w:t>第十七节  规划实施管理</w:t>
      </w:r>
      <w:bookmarkEnd w:id="27"/>
    </w:p>
    <w:p>
      <w:pPr>
        <w:widowControl/>
        <w:shd w:val="clear" w:color="auto" w:fill="FFFFFF"/>
        <w:adjustRightInd w:val="0"/>
        <w:snapToGrid w:val="0"/>
        <w:spacing w:line="360" w:lineRule="auto"/>
        <w:ind w:firstLine="480"/>
        <w:jc w:val="left"/>
        <w:rPr>
          <w:rFonts w:ascii="Times New Roman" w:hAnsi="Times New Roman" w:eastAsia="华文仿宋" w:cs="Times New Roman"/>
          <w:kern w:val="0"/>
          <w:sz w:val="30"/>
          <w:szCs w:val="30"/>
        </w:rPr>
      </w:pPr>
      <w:r>
        <w:rPr>
          <w:rFonts w:ascii="Times New Roman" w:hAnsi="Times New Roman" w:eastAsia="黑体" w:cs="Times New Roman"/>
          <w:sz w:val="30"/>
          <w:szCs w:val="30"/>
        </w:rPr>
        <w:t>第一条</w:t>
      </w:r>
      <w:r>
        <w:rPr>
          <w:rFonts w:ascii="Times New Roman" w:hAnsi="Times New Roman" w:eastAsia="仿宋_GB2312" w:cs="Times New Roman"/>
          <w:b/>
          <w:sz w:val="30"/>
          <w:szCs w:val="30"/>
        </w:rPr>
        <w:t xml:space="preserve">  </w:t>
      </w:r>
      <w:r>
        <w:rPr>
          <w:rFonts w:ascii="Times New Roman" w:hAnsi="华文仿宋" w:eastAsia="华文仿宋" w:cs="Times New Roman"/>
          <w:kern w:val="0"/>
          <w:sz w:val="30"/>
          <w:szCs w:val="30"/>
        </w:rPr>
        <w:t>禁止和限制养殖区管理</w:t>
      </w:r>
    </w:p>
    <w:p>
      <w:pPr>
        <w:widowControl/>
        <w:shd w:val="clear" w:color="auto" w:fill="FFFFFF"/>
        <w:adjustRightInd w:val="0"/>
        <w:snapToGrid w:val="0"/>
        <w:spacing w:line="360" w:lineRule="auto"/>
        <w:ind w:firstLine="600" w:firstLineChars="200"/>
        <w:jc w:val="left"/>
        <w:rPr>
          <w:rFonts w:ascii="Times New Roman" w:hAnsi="Times New Roman" w:eastAsia="华文仿宋" w:cs="Times New Roman"/>
          <w:kern w:val="0"/>
          <w:sz w:val="30"/>
          <w:szCs w:val="30"/>
        </w:rPr>
      </w:pPr>
      <w:r>
        <w:rPr>
          <w:rFonts w:ascii="Times New Roman" w:hAnsi="华文仿宋" w:eastAsia="华文仿宋" w:cs="Times New Roman"/>
          <w:kern w:val="0"/>
          <w:sz w:val="30"/>
          <w:szCs w:val="30"/>
        </w:rPr>
        <w:t>禁止养殖区内的水产养殖，由本级人民政府及相关部门负责限期搬迁或关停。限制养殖区内的水产养殖，污染物排放超过国家和地方规定的污染物排放标准的，限期整改，整改后仍不达标的，由本级人民政府及相关部门负责限期搬迁或关停。禁止和限制养殖区内重点生态功能区和公共设施安全区域划定前已有的水产养殖，搬迁或关停造成养殖生产者经济损失的应依法给予补偿，并妥善安置养殖渔民生产生活。</w:t>
      </w:r>
    </w:p>
    <w:p>
      <w:pPr>
        <w:widowControl/>
        <w:shd w:val="clear" w:color="auto" w:fill="FFFFFF"/>
        <w:adjustRightInd w:val="0"/>
        <w:snapToGrid w:val="0"/>
        <w:spacing w:line="360" w:lineRule="auto"/>
        <w:ind w:firstLine="480"/>
        <w:jc w:val="left"/>
        <w:rPr>
          <w:rFonts w:ascii="Times New Roman" w:hAnsi="Times New Roman" w:eastAsia="仿宋_GB2312" w:cs="Times New Roman"/>
          <w:kern w:val="0"/>
          <w:sz w:val="30"/>
          <w:szCs w:val="30"/>
        </w:rPr>
      </w:pPr>
      <w:r>
        <w:rPr>
          <w:rFonts w:ascii="Times New Roman" w:hAnsi="Times New Roman" w:eastAsia="黑体" w:cs="Times New Roman"/>
          <w:sz w:val="30"/>
          <w:szCs w:val="30"/>
        </w:rPr>
        <w:t>第二条</w:t>
      </w:r>
      <w:r>
        <w:rPr>
          <w:rFonts w:ascii="Times New Roman" w:hAnsi="Times New Roman" w:eastAsia="仿宋_GB2312" w:cs="Times New Roman"/>
          <w:b/>
          <w:sz w:val="30"/>
          <w:szCs w:val="30"/>
        </w:rPr>
        <w:t xml:space="preserve">  </w:t>
      </w:r>
      <w:r>
        <w:rPr>
          <w:rFonts w:ascii="Times New Roman" w:hAnsi="华文仿宋" w:eastAsia="华文仿宋" w:cs="Times New Roman"/>
          <w:kern w:val="0"/>
          <w:sz w:val="30"/>
          <w:szCs w:val="30"/>
        </w:rPr>
        <w:t>养殖区管理</w:t>
      </w:r>
    </w:p>
    <w:p>
      <w:pPr>
        <w:ind w:firstLine="750" w:firstLineChars="250"/>
        <w:jc w:val="left"/>
        <w:rPr>
          <w:rFonts w:ascii="Times New Roman" w:hAnsi="Times New Roman" w:eastAsia="华文仿宋" w:cs="Times New Roman"/>
          <w:kern w:val="0"/>
          <w:sz w:val="30"/>
          <w:szCs w:val="30"/>
        </w:rPr>
      </w:pPr>
      <w:r>
        <w:rPr>
          <w:rFonts w:ascii="Times New Roman" w:hAnsi="华文仿宋" w:eastAsia="华文仿宋" w:cs="Times New Roman"/>
          <w:kern w:val="0"/>
          <w:sz w:val="30"/>
          <w:szCs w:val="30"/>
        </w:rPr>
        <w:t>养殖区内符合规划的养殖项目，应当科学确定养殖密度，合理投饵、使用药物，防止造成水域的环境污染，养殖生产应符合《水产养殖质量安全管理规定》的有关要求。完善全民所有养殖水域、滩涂使用审批，健全使用权的招、拍、挂等交易制度，推进集体所有养殖水域、滩涂承包经营权的确权工作，规范水域滩涂养殖发证登记工作。加强渔政执法，查处无证养殖，对非法侵占养殖水域滩涂行为进行处理，规范养殖水域滩涂开发利用秩序，强化社会监督。</w:t>
      </w:r>
    </w:p>
    <w:p>
      <w:pPr>
        <w:widowControl/>
        <w:shd w:val="clear" w:color="auto" w:fill="FFFFFF"/>
        <w:adjustRightInd w:val="0"/>
        <w:snapToGrid w:val="0"/>
        <w:spacing w:line="360" w:lineRule="auto"/>
        <w:ind w:firstLine="480"/>
        <w:jc w:val="left"/>
        <w:rPr>
          <w:rFonts w:ascii="Times New Roman" w:hAnsi="Times New Roman" w:eastAsia="华文仿宋" w:cs="Times New Roman"/>
          <w:kern w:val="0"/>
          <w:sz w:val="30"/>
          <w:szCs w:val="30"/>
        </w:rPr>
      </w:pPr>
      <w:r>
        <w:rPr>
          <w:rFonts w:ascii="Times New Roman" w:hAnsi="Times New Roman" w:eastAsia="黑体" w:cs="Times New Roman"/>
          <w:sz w:val="30"/>
          <w:szCs w:val="30"/>
        </w:rPr>
        <w:t xml:space="preserve">第三条 </w:t>
      </w:r>
      <w:r>
        <w:rPr>
          <w:rFonts w:ascii="Times New Roman" w:hAnsi="Times New Roman" w:eastAsia="仿宋_GB2312" w:cs="Times New Roman"/>
          <w:kern w:val="0"/>
          <w:sz w:val="30"/>
          <w:szCs w:val="30"/>
        </w:rPr>
        <w:t xml:space="preserve"> </w:t>
      </w:r>
      <w:r>
        <w:rPr>
          <w:rFonts w:ascii="Times New Roman" w:hAnsi="华文仿宋" w:eastAsia="华文仿宋" w:cs="Times New Roman"/>
          <w:kern w:val="0"/>
          <w:sz w:val="30"/>
          <w:szCs w:val="30"/>
        </w:rPr>
        <w:t>使用用途管制</w:t>
      </w:r>
    </w:p>
    <w:p>
      <w:pPr>
        <w:ind w:firstLine="600" w:firstLineChars="200"/>
        <w:jc w:val="left"/>
        <w:rPr>
          <w:rFonts w:ascii="Times New Roman" w:hAnsi="Times New Roman" w:eastAsia="华文仿宋" w:cs="Times New Roman"/>
          <w:kern w:val="0"/>
          <w:sz w:val="30"/>
          <w:szCs w:val="30"/>
        </w:rPr>
      </w:pPr>
      <w:r>
        <w:rPr>
          <w:rFonts w:ascii="Times New Roman" w:hAnsi="华文仿宋" w:eastAsia="华文仿宋" w:cs="Times New Roman"/>
          <w:kern w:val="0"/>
          <w:sz w:val="30"/>
          <w:szCs w:val="30"/>
        </w:rPr>
        <w:t>为保护现有水产养殖业和环境保护的协调统一，对于农渔业区划定的养殖区及非农渔业区海域允许非基本功能类型用海项目与海洋功能区的兼容发展，严格限制改变海域自然属性。对于不影响功能区基本功能的渔业养殖等现状用海项目应予以保留。农渔业区内，渔业基础设施区和捕捞区按其海洋功能开展渔业生产活动。切实协调好与项目用海利益相关者关系，尤其要做好涉及渔业用海的渔民转产转业和补偿工作，维护渔民利益和渔区和谐稳定。保护区范围内现有水产养殖业按其管理办法管理。</w:t>
      </w:r>
    </w:p>
    <w:p>
      <w:pPr>
        <w:ind w:firstLine="600" w:firstLineChars="200"/>
        <w:jc w:val="left"/>
        <w:rPr>
          <w:rFonts w:ascii="Times New Roman" w:hAnsi="Times New Roman" w:eastAsia="华文仿宋" w:cs="Times New Roman"/>
          <w:kern w:val="0"/>
          <w:sz w:val="30"/>
          <w:szCs w:val="30"/>
        </w:rPr>
      </w:pPr>
      <w:r>
        <w:rPr>
          <w:rFonts w:ascii="Times New Roman" w:hAnsi="华文仿宋" w:eastAsia="华文仿宋" w:cs="Times New Roman"/>
          <w:kern w:val="0"/>
          <w:sz w:val="30"/>
          <w:szCs w:val="30"/>
        </w:rPr>
        <w:t>规划是养殖水域滩涂使用管理的基本依据，养殖水域滩涂使用管理要严格依据规划开展，严格限制擅自改变养殖水域滩涂使用用途的行为。新建生态保护或工程建设项目等占用养殖水域滩涂的，应征求渔业行政主管部门意见，造成养殖生产者经济损失的应依法给予补偿。本规划可根据相关法律法规、规章制度等的调整，适时开展修订。</w:t>
      </w:r>
    </w:p>
    <w:p>
      <w:pPr>
        <w:pStyle w:val="2"/>
        <w:spacing w:line="360" w:lineRule="auto"/>
        <w:jc w:val="center"/>
        <w:rPr>
          <w:rFonts w:ascii="Times New Roman" w:hAnsi="Times New Roman" w:eastAsia="黑体" w:cs="Times New Roman"/>
          <w:b w:val="0"/>
          <w:sz w:val="32"/>
        </w:rPr>
      </w:pPr>
      <w:bookmarkStart w:id="28" w:name="_Toc529634106"/>
      <w:r>
        <w:rPr>
          <w:rFonts w:ascii="Times New Roman" w:hAnsi="Times New Roman" w:eastAsia="黑体" w:cs="Times New Roman"/>
          <w:b w:val="0"/>
          <w:sz w:val="32"/>
        </w:rPr>
        <w:t>第五章  附  则</w:t>
      </w:r>
      <w:bookmarkEnd w:id="28"/>
    </w:p>
    <w:p>
      <w:pPr>
        <w:pStyle w:val="3"/>
        <w:adjustRightInd w:val="0"/>
        <w:snapToGrid w:val="0"/>
        <w:spacing w:before="0" w:after="0" w:line="360" w:lineRule="auto"/>
        <w:rPr>
          <w:rFonts w:ascii="Times New Roman" w:hAnsi="Times New Roman" w:eastAsia="仿宋_GB2312"/>
          <w:b w:val="0"/>
          <w:sz w:val="30"/>
          <w:szCs w:val="30"/>
        </w:rPr>
      </w:pPr>
      <w:bookmarkStart w:id="29" w:name="_Toc529634107"/>
      <w:r>
        <w:rPr>
          <w:rFonts w:ascii="Times New Roman" w:hAnsi="Times New Roman"/>
          <w:b w:val="0"/>
          <w:sz w:val="30"/>
          <w:szCs w:val="30"/>
        </w:rPr>
        <w:t>第十八节</w:t>
      </w:r>
      <w:r>
        <w:rPr>
          <w:rFonts w:ascii="Times New Roman" w:hAnsi="Times New Roman"/>
          <w:sz w:val="30"/>
          <w:szCs w:val="30"/>
        </w:rPr>
        <w:t xml:space="preserve"> </w:t>
      </w:r>
      <w:r>
        <w:rPr>
          <w:rFonts w:ascii="Times New Roman" w:hAnsi="Times New Roman" w:eastAsia="华文仿宋"/>
          <w:b w:val="0"/>
          <w:sz w:val="30"/>
          <w:szCs w:val="30"/>
        </w:rPr>
        <w:t>养殖水域滩涂规划一经批准，即具有法律效力，必须严格执行。</w:t>
      </w:r>
      <w:bookmarkEnd w:id="29"/>
    </w:p>
    <w:p>
      <w:pPr>
        <w:pStyle w:val="3"/>
        <w:adjustRightInd w:val="0"/>
        <w:snapToGrid w:val="0"/>
        <w:spacing w:before="0" w:after="0" w:line="360" w:lineRule="auto"/>
        <w:rPr>
          <w:rFonts w:ascii="Times New Roman" w:hAnsi="Times New Roman" w:eastAsia="仿宋_GB2312"/>
          <w:sz w:val="30"/>
          <w:szCs w:val="30"/>
        </w:rPr>
      </w:pPr>
      <w:bookmarkStart w:id="30" w:name="_Toc529634108"/>
      <w:r>
        <w:rPr>
          <w:rFonts w:ascii="Times New Roman" w:hAnsi="Times New Roman"/>
          <w:b w:val="0"/>
          <w:sz w:val="30"/>
          <w:szCs w:val="30"/>
        </w:rPr>
        <w:t xml:space="preserve">第十九节 </w:t>
      </w:r>
      <w:r>
        <w:rPr>
          <w:rFonts w:ascii="Times New Roman" w:hAnsi="Times New Roman" w:eastAsia="华文仿宋"/>
          <w:b w:val="0"/>
          <w:sz w:val="30"/>
          <w:szCs w:val="30"/>
        </w:rPr>
        <w:t>规划图集和登记表为规划文本附件，具有与文本同等的法律效力。</w:t>
      </w:r>
      <w:bookmarkEnd w:id="30"/>
    </w:p>
    <w:sectPr>
      <w:footerReference r:id="rId9" w:type="default"/>
      <w:pgSz w:w="11906" w:h="16838"/>
      <w:pgMar w:top="1304" w:right="1247" w:bottom="1304" w:left="124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cs="Times New Roman"/>
      </w:rP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961251"/>
      <w:docPartObj>
        <w:docPartGallery w:val="autotext"/>
      </w:docPartObj>
    </w:sdtPr>
    <w:sdtEndPr>
      <w:rPr>
        <w:rFonts w:ascii="Times New Roman" w:hAnsi="Times New Roman" w:cs="Times New Roman"/>
      </w:rPr>
    </w:sdtEndPr>
    <w:sdtContent>
      <w:p>
        <w:pPr>
          <w:pStyle w:val="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17</w:t>
        </w:r>
        <w:r>
          <w:rPr>
            <w:rFonts w:ascii="Times New Roman" w:hAnsi="Times New Roman" w:cs="Times New Roman"/>
          </w:rP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30C8"/>
    <w:rsid w:val="00000439"/>
    <w:rsid w:val="00003562"/>
    <w:rsid w:val="000118E9"/>
    <w:rsid w:val="00027F51"/>
    <w:rsid w:val="000311E6"/>
    <w:rsid w:val="00031E3E"/>
    <w:rsid w:val="000325B8"/>
    <w:rsid w:val="000335F3"/>
    <w:rsid w:val="000361AF"/>
    <w:rsid w:val="00037B96"/>
    <w:rsid w:val="00041E64"/>
    <w:rsid w:val="00043BDB"/>
    <w:rsid w:val="000556E3"/>
    <w:rsid w:val="00056657"/>
    <w:rsid w:val="00061AF6"/>
    <w:rsid w:val="00062574"/>
    <w:rsid w:val="00072542"/>
    <w:rsid w:val="000729C0"/>
    <w:rsid w:val="0007761E"/>
    <w:rsid w:val="000846D2"/>
    <w:rsid w:val="00094C8B"/>
    <w:rsid w:val="000A1A38"/>
    <w:rsid w:val="000A3DE4"/>
    <w:rsid w:val="000B11DB"/>
    <w:rsid w:val="000B1B70"/>
    <w:rsid w:val="000B3F35"/>
    <w:rsid w:val="000C283E"/>
    <w:rsid w:val="000C4D15"/>
    <w:rsid w:val="000C693C"/>
    <w:rsid w:val="000D43CF"/>
    <w:rsid w:val="000E2209"/>
    <w:rsid w:val="00103507"/>
    <w:rsid w:val="00116E05"/>
    <w:rsid w:val="00123351"/>
    <w:rsid w:val="00123D55"/>
    <w:rsid w:val="00130FBC"/>
    <w:rsid w:val="00134AAE"/>
    <w:rsid w:val="00134F51"/>
    <w:rsid w:val="001464C7"/>
    <w:rsid w:val="00152E21"/>
    <w:rsid w:val="001530C8"/>
    <w:rsid w:val="00154958"/>
    <w:rsid w:val="0015613B"/>
    <w:rsid w:val="00156C49"/>
    <w:rsid w:val="00165412"/>
    <w:rsid w:val="00166399"/>
    <w:rsid w:val="0017056D"/>
    <w:rsid w:val="0019251F"/>
    <w:rsid w:val="001A0696"/>
    <w:rsid w:val="001A5A1D"/>
    <w:rsid w:val="001A6289"/>
    <w:rsid w:val="001A7E07"/>
    <w:rsid w:val="001B1599"/>
    <w:rsid w:val="001B454F"/>
    <w:rsid w:val="001C1774"/>
    <w:rsid w:val="001D248A"/>
    <w:rsid w:val="001D3073"/>
    <w:rsid w:val="001D5DC0"/>
    <w:rsid w:val="001E51D4"/>
    <w:rsid w:val="001E6003"/>
    <w:rsid w:val="001E7098"/>
    <w:rsid w:val="00205B42"/>
    <w:rsid w:val="002137A0"/>
    <w:rsid w:val="002167B6"/>
    <w:rsid w:val="00220740"/>
    <w:rsid w:val="0022401E"/>
    <w:rsid w:val="00224272"/>
    <w:rsid w:val="00225FBD"/>
    <w:rsid w:val="00240AB2"/>
    <w:rsid w:val="00242E52"/>
    <w:rsid w:val="00250F07"/>
    <w:rsid w:val="00252708"/>
    <w:rsid w:val="00253B64"/>
    <w:rsid w:val="00261676"/>
    <w:rsid w:val="0026204D"/>
    <w:rsid w:val="002727D4"/>
    <w:rsid w:val="002760F6"/>
    <w:rsid w:val="00277062"/>
    <w:rsid w:val="00277AD2"/>
    <w:rsid w:val="002817CB"/>
    <w:rsid w:val="00282DC8"/>
    <w:rsid w:val="0028782D"/>
    <w:rsid w:val="00295813"/>
    <w:rsid w:val="00295FD2"/>
    <w:rsid w:val="00297513"/>
    <w:rsid w:val="00297E1C"/>
    <w:rsid w:val="002A281C"/>
    <w:rsid w:val="002A688E"/>
    <w:rsid w:val="002B3F5C"/>
    <w:rsid w:val="002B7B6E"/>
    <w:rsid w:val="002C611E"/>
    <w:rsid w:val="002E0019"/>
    <w:rsid w:val="002E60A1"/>
    <w:rsid w:val="002E75DE"/>
    <w:rsid w:val="002F146A"/>
    <w:rsid w:val="002F581F"/>
    <w:rsid w:val="002F6015"/>
    <w:rsid w:val="002F6C00"/>
    <w:rsid w:val="003001E8"/>
    <w:rsid w:val="003039DB"/>
    <w:rsid w:val="003211A2"/>
    <w:rsid w:val="0032375E"/>
    <w:rsid w:val="00333F4A"/>
    <w:rsid w:val="0034030A"/>
    <w:rsid w:val="003469EA"/>
    <w:rsid w:val="00347386"/>
    <w:rsid w:val="00347775"/>
    <w:rsid w:val="003619C6"/>
    <w:rsid w:val="00365B25"/>
    <w:rsid w:val="00366384"/>
    <w:rsid w:val="00372EC4"/>
    <w:rsid w:val="00374902"/>
    <w:rsid w:val="003934F1"/>
    <w:rsid w:val="00393BB7"/>
    <w:rsid w:val="003A6C07"/>
    <w:rsid w:val="003B76F1"/>
    <w:rsid w:val="003C0A14"/>
    <w:rsid w:val="003C67E3"/>
    <w:rsid w:val="003D082B"/>
    <w:rsid w:val="003E0542"/>
    <w:rsid w:val="003F0696"/>
    <w:rsid w:val="003F07D5"/>
    <w:rsid w:val="003F1D93"/>
    <w:rsid w:val="00400863"/>
    <w:rsid w:val="00402259"/>
    <w:rsid w:val="00405349"/>
    <w:rsid w:val="004060BE"/>
    <w:rsid w:val="00406D8B"/>
    <w:rsid w:val="0041478D"/>
    <w:rsid w:val="00414E59"/>
    <w:rsid w:val="00427C45"/>
    <w:rsid w:val="0043168A"/>
    <w:rsid w:val="00432408"/>
    <w:rsid w:val="0043499B"/>
    <w:rsid w:val="004417A3"/>
    <w:rsid w:val="0044206F"/>
    <w:rsid w:val="00443AB0"/>
    <w:rsid w:val="0044446D"/>
    <w:rsid w:val="004576B7"/>
    <w:rsid w:val="00461997"/>
    <w:rsid w:val="00461F76"/>
    <w:rsid w:val="004875AF"/>
    <w:rsid w:val="00491089"/>
    <w:rsid w:val="0049219F"/>
    <w:rsid w:val="00497A84"/>
    <w:rsid w:val="004A4827"/>
    <w:rsid w:val="004A561E"/>
    <w:rsid w:val="004A6314"/>
    <w:rsid w:val="004A75C3"/>
    <w:rsid w:val="004C0315"/>
    <w:rsid w:val="004C0B23"/>
    <w:rsid w:val="004C1257"/>
    <w:rsid w:val="004C6E80"/>
    <w:rsid w:val="004D4F1E"/>
    <w:rsid w:val="004D6CE4"/>
    <w:rsid w:val="004E09EF"/>
    <w:rsid w:val="004E0BDE"/>
    <w:rsid w:val="004E169D"/>
    <w:rsid w:val="004E2382"/>
    <w:rsid w:val="004F3DF7"/>
    <w:rsid w:val="004F5CA6"/>
    <w:rsid w:val="0050099E"/>
    <w:rsid w:val="00500BC3"/>
    <w:rsid w:val="005035FB"/>
    <w:rsid w:val="00511964"/>
    <w:rsid w:val="005243BC"/>
    <w:rsid w:val="005248ED"/>
    <w:rsid w:val="005252B1"/>
    <w:rsid w:val="00530145"/>
    <w:rsid w:val="005377B2"/>
    <w:rsid w:val="0054201F"/>
    <w:rsid w:val="00553D6E"/>
    <w:rsid w:val="00554D73"/>
    <w:rsid w:val="00555AB9"/>
    <w:rsid w:val="00560A51"/>
    <w:rsid w:val="005645ED"/>
    <w:rsid w:val="005656F3"/>
    <w:rsid w:val="005743DA"/>
    <w:rsid w:val="0057580D"/>
    <w:rsid w:val="00576BA1"/>
    <w:rsid w:val="005778AF"/>
    <w:rsid w:val="00577E50"/>
    <w:rsid w:val="0059493E"/>
    <w:rsid w:val="00596694"/>
    <w:rsid w:val="005A13B7"/>
    <w:rsid w:val="005A371C"/>
    <w:rsid w:val="005A4F15"/>
    <w:rsid w:val="005B1869"/>
    <w:rsid w:val="005B4F70"/>
    <w:rsid w:val="005B66C2"/>
    <w:rsid w:val="005B7854"/>
    <w:rsid w:val="005C52E5"/>
    <w:rsid w:val="005C53EB"/>
    <w:rsid w:val="005C74E7"/>
    <w:rsid w:val="005D0D09"/>
    <w:rsid w:val="005D2BF8"/>
    <w:rsid w:val="005D3B84"/>
    <w:rsid w:val="005E1A29"/>
    <w:rsid w:val="005F3260"/>
    <w:rsid w:val="005F7DDC"/>
    <w:rsid w:val="00606BA1"/>
    <w:rsid w:val="006124CE"/>
    <w:rsid w:val="00614591"/>
    <w:rsid w:val="00614A47"/>
    <w:rsid w:val="00614C65"/>
    <w:rsid w:val="00621AA5"/>
    <w:rsid w:val="006233A5"/>
    <w:rsid w:val="0062658B"/>
    <w:rsid w:val="00630105"/>
    <w:rsid w:val="006321DD"/>
    <w:rsid w:val="006367CB"/>
    <w:rsid w:val="006523EC"/>
    <w:rsid w:val="006526BF"/>
    <w:rsid w:val="00653BBB"/>
    <w:rsid w:val="00655729"/>
    <w:rsid w:val="006651A1"/>
    <w:rsid w:val="00670205"/>
    <w:rsid w:val="006726B4"/>
    <w:rsid w:val="006752A9"/>
    <w:rsid w:val="006767A9"/>
    <w:rsid w:val="00677056"/>
    <w:rsid w:val="00682992"/>
    <w:rsid w:val="00685329"/>
    <w:rsid w:val="00691DCF"/>
    <w:rsid w:val="00695FF5"/>
    <w:rsid w:val="006A6725"/>
    <w:rsid w:val="006B4056"/>
    <w:rsid w:val="006B47C1"/>
    <w:rsid w:val="006B5D9E"/>
    <w:rsid w:val="006C641E"/>
    <w:rsid w:val="006D08FD"/>
    <w:rsid w:val="006D409C"/>
    <w:rsid w:val="006E6C0E"/>
    <w:rsid w:val="006F121A"/>
    <w:rsid w:val="006F4224"/>
    <w:rsid w:val="00706213"/>
    <w:rsid w:val="00711D7B"/>
    <w:rsid w:val="007132A3"/>
    <w:rsid w:val="00714C23"/>
    <w:rsid w:val="00715F26"/>
    <w:rsid w:val="0072631F"/>
    <w:rsid w:val="00727C5D"/>
    <w:rsid w:val="00727F61"/>
    <w:rsid w:val="007327A0"/>
    <w:rsid w:val="00733856"/>
    <w:rsid w:val="00734085"/>
    <w:rsid w:val="007355C4"/>
    <w:rsid w:val="00740119"/>
    <w:rsid w:val="007451E6"/>
    <w:rsid w:val="00746B29"/>
    <w:rsid w:val="00747DE6"/>
    <w:rsid w:val="007510A1"/>
    <w:rsid w:val="00752327"/>
    <w:rsid w:val="00763159"/>
    <w:rsid w:val="00770A94"/>
    <w:rsid w:val="00771EC6"/>
    <w:rsid w:val="00772074"/>
    <w:rsid w:val="00772120"/>
    <w:rsid w:val="0077370D"/>
    <w:rsid w:val="007746A3"/>
    <w:rsid w:val="0078081C"/>
    <w:rsid w:val="00784A64"/>
    <w:rsid w:val="007877E4"/>
    <w:rsid w:val="00787BCB"/>
    <w:rsid w:val="00795F65"/>
    <w:rsid w:val="00796A09"/>
    <w:rsid w:val="007A4B17"/>
    <w:rsid w:val="007A6E88"/>
    <w:rsid w:val="007B07B6"/>
    <w:rsid w:val="007B4621"/>
    <w:rsid w:val="007B56DC"/>
    <w:rsid w:val="007D0BD8"/>
    <w:rsid w:val="007D2775"/>
    <w:rsid w:val="007D4C79"/>
    <w:rsid w:val="007E35AD"/>
    <w:rsid w:val="007E7800"/>
    <w:rsid w:val="007F1DBB"/>
    <w:rsid w:val="007F430D"/>
    <w:rsid w:val="007F6D41"/>
    <w:rsid w:val="00800B0F"/>
    <w:rsid w:val="00801143"/>
    <w:rsid w:val="00801711"/>
    <w:rsid w:val="00803BC7"/>
    <w:rsid w:val="00805C78"/>
    <w:rsid w:val="008201DA"/>
    <w:rsid w:val="00823583"/>
    <w:rsid w:val="008247B5"/>
    <w:rsid w:val="0082661F"/>
    <w:rsid w:val="008270B2"/>
    <w:rsid w:val="0083064C"/>
    <w:rsid w:val="0083595F"/>
    <w:rsid w:val="00840E2A"/>
    <w:rsid w:val="00845334"/>
    <w:rsid w:val="008473EA"/>
    <w:rsid w:val="008514FD"/>
    <w:rsid w:val="008538A2"/>
    <w:rsid w:val="00862783"/>
    <w:rsid w:val="0087014F"/>
    <w:rsid w:val="0087072A"/>
    <w:rsid w:val="00877899"/>
    <w:rsid w:val="0089408A"/>
    <w:rsid w:val="008A7B2C"/>
    <w:rsid w:val="008B4587"/>
    <w:rsid w:val="008B4F16"/>
    <w:rsid w:val="008C3F76"/>
    <w:rsid w:val="008C4557"/>
    <w:rsid w:val="008D3E6E"/>
    <w:rsid w:val="008D779F"/>
    <w:rsid w:val="008E5884"/>
    <w:rsid w:val="008F1245"/>
    <w:rsid w:val="009102E0"/>
    <w:rsid w:val="009163F0"/>
    <w:rsid w:val="00916537"/>
    <w:rsid w:val="009220D1"/>
    <w:rsid w:val="009243EB"/>
    <w:rsid w:val="00927247"/>
    <w:rsid w:val="00930488"/>
    <w:rsid w:val="00932510"/>
    <w:rsid w:val="00933202"/>
    <w:rsid w:val="00933B9E"/>
    <w:rsid w:val="009442AF"/>
    <w:rsid w:val="00954F04"/>
    <w:rsid w:val="00960AF0"/>
    <w:rsid w:val="00972BA3"/>
    <w:rsid w:val="009768D9"/>
    <w:rsid w:val="00984DAC"/>
    <w:rsid w:val="00985831"/>
    <w:rsid w:val="00985E38"/>
    <w:rsid w:val="009869A1"/>
    <w:rsid w:val="009870A3"/>
    <w:rsid w:val="0099034C"/>
    <w:rsid w:val="00995EC8"/>
    <w:rsid w:val="009A14A9"/>
    <w:rsid w:val="009A3986"/>
    <w:rsid w:val="009B26E6"/>
    <w:rsid w:val="009B51F1"/>
    <w:rsid w:val="009B5C50"/>
    <w:rsid w:val="009C150C"/>
    <w:rsid w:val="009C6CCA"/>
    <w:rsid w:val="009F0072"/>
    <w:rsid w:val="009F36A2"/>
    <w:rsid w:val="009F3BC3"/>
    <w:rsid w:val="00A0146D"/>
    <w:rsid w:val="00A03088"/>
    <w:rsid w:val="00A06CEA"/>
    <w:rsid w:val="00A10709"/>
    <w:rsid w:val="00A13DB9"/>
    <w:rsid w:val="00A15C72"/>
    <w:rsid w:val="00A224A9"/>
    <w:rsid w:val="00A26D2E"/>
    <w:rsid w:val="00A31D53"/>
    <w:rsid w:val="00A37337"/>
    <w:rsid w:val="00A66946"/>
    <w:rsid w:val="00A715C7"/>
    <w:rsid w:val="00A71EA0"/>
    <w:rsid w:val="00A74EB4"/>
    <w:rsid w:val="00A7642D"/>
    <w:rsid w:val="00A80610"/>
    <w:rsid w:val="00A8308C"/>
    <w:rsid w:val="00A86BF8"/>
    <w:rsid w:val="00A877AA"/>
    <w:rsid w:val="00A94243"/>
    <w:rsid w:val="00A94C96"/>
    <w:rsid w:val="00AA7296"/>
    <w:rsid w:val="00AB0559"/>
    <w:rsid w:val="00AB4B33"/>
    <w:rsid w:val="00AC6EC7"/>
    <w:rsid w:val="00AE0A8A"/>
    <w:rsid w:val="00AE4AD3"/>
    <w:rsid w:val="00AE73F9"/>
    <w:rsid w:val="00AF0196"/>
    <w:rsid w:val="00AF5E22"/>
    <w:rsid w:val="00AF6718"/>
    <w:rsid w:val="00B01C36"/>
    <w:rsid w:val="00B1252E"/>
    <w:rsid w:val="00B137BB"/>
    <w:rsid w:val="00B203ED"/>
    <w:rsid w:val="00B23AE4"/>
    <w:rsid w:val="00B3389D"/>
    <w:rsid w:val="00B345D2"/>
    <w:rsid w:val="00B34D79"/>
    <w:rsid w:val="00B43089"/>
    <w:rsid w:val="00B45F73"/>
    <w:rsid w:val="00B47A79"/>
    <w:rsid w:val="00B61D98"/>
    <w:rsid w:val="00B624BE"/>
    <w:rsid w:val="00B64BCE"/>
    <w:rsid w:val="00B80176"/>
    <w:rsid w:val="00B83250"/>
    <w:rsid w:val="00B90C18"/>
    <w:rsid w:val="00B97721"/>
    <w:rsid w:val="00BA4236"/>
    <w:rsid w:val="00BA7484"/>
    <w:rsid w:val="00BB016D"/>
    <w:rsid w:val="00BB11D7"/>
    <w:rsid w:val="00BC4540"/>
    <w:rsid w:val="00BC74E0"/>
    <w:rsid w:val="00BD05C2"/>
    <w:rsid w:val="00BD4470"/>
    <w:rsid w:val="00BD7B47"/>
    <w:rsid w:val="00BE08CC"/>
    <w:rsid w:val="00BE6E0C"/>
    <w:rsid w:val="00BE7EB1"/>
    <w:rsid w:val="00BF1D77"/>
    <w:rsid w:val="00BF21A4"/>
    <w:rsid w:val="00BF3CC8"/>
    <w:rsid w:val="00C01E07"/>
    <w:rsid w:val="00C055F0"/>
    <w:rsid w:val="00C20D8E"/>
    <w:rsid w:val="00C2208E"/>
    <w:rsid w:val="00C220DB"/>
    <w:rsid w:val="00C266FF"/>
    <w:rsid w:val="00C448C8"/>
    <w:rsid w:val="00C45667"/>
    <w:rsid w:val="00C47CFC"/>
    <w:rsid w:val="00C51486"/>
    <w:rsid w:val="00C600C0"/>
    <w:rsid w:val="00C67449"/>
    <w:rsid w:val="00C704EC"/>
    <w:rsid w:val="00C7603D"/>
    <w:rsid w:val="00C80B89"/>
    <w:rsid w:val="00C84147"/>
    <w:rsid w:val="00C84562"/>
    <w:rsid w:val="00C87808"/>
    <w:rsid w:val="00C912C5"/>
    <w:rsid w:val="00CA0204"/>
    <w:rsid w:val="00CA1C8E"/>
    <w:rsid w:val="00CA2D26"/>
    <w:rsid w:val="00CA43DF"/>
    <w:rsid w:val="00CA56F2"/>
    <w:rsid w:val="00CB1AAC"/>
    <w:rsid w:val="00CD7D49"/>
    <w:rsid w:val="00CF5A9A"/>
    <w:rsid w:val="00D02AFA"/>
    <w:rsid w:val="00D05427"/>
    <w:rsid w:val="00D0639D"/>
    <w:rsid w:val="00D07C1F"/>
    <w:rsid w:val="00D127B3"/>
    <w:rsid w:val="00D12A4F"/>
    <w:rsid w:val="00D348B6"/>
    <w:rsid w:val="00D45864"/>
    <w:rsid w:val="00D53B8D"/>
    <w:rsid w:val="00D61B69"/>
    <w:rsid w:val="00D666CE"/>
    <w:rsid w:val="00D71A09"/>
    <w:rsid w:val="00D7362E"/>
    <w:rsid w:val="00D76C32"/>
    <w:rsid w:val="00D84C71"/>
    <w:rsid w:val="00D901BF"/>
    <w:rsid w:val="00D91691"/>
    <w:rsid w:val="00D940A7"/>
    <w:rsid w:val="00DA06C1"/>
    <w:rsid w:val="00DA35F4"/>
    <w:rsid w:val="00DA7F89"/>
    <w:rsid w:val="00DB24DA"/>
    <w:rsid w:val="00DB6C35"/>
    <w:rsid w:val="00DC23CD"/>
    <w:rsid w:val="00DC3D7C"/>
    <w:rsid w:val="00DC5223"/>
    <w:rsid w:val="00DE34AF"/>
    <w:rsid w:val="00DE7FCD"/>
    <w:rsid w:val="00DF1998"/>
    <w:rsid w:val="00E018E7"/>
    <w:rsid w:val="00E06960"/>
    <w:rsid w:val="00E071C0"/>
    <w:rsid w:val="00E12D57"/>
    <w:rsid w:val="00E14186"/>
    <w:rsid w:val="00E2117A"/>
    <w:rsid w:val="00E2245A"/>
    <w:rsid w:val="00E22B30"/>
    <w:rsid w:val="00E22C69"/>
    <w:rsid w:val="00E234CF"/>
    <w:rsid w:val="00E25583"/>
    <w:rsid w:val="00E25D3C"/>
    <w:rsid w:val="00E261CC"/>
    <w:rsid w:val="00E265E3"/>
    <w:rsid w:val="00E26B6E"/>
    <w:rsid w:val="00E27640"/>
    <w:rsid w:val="00E352E6"/>
    <w:rsid w:val="00E43C95"/>
    <w:rsid w:val="00E454A9"/>
    <w:rsid w:val="00E538F7"/>
    <w:rsid w:val="00E55C15"/>
    <w:rsid w:val="00E60B73"/>
    <w:rsid w:val="00E61C93"/>
    <w:rsid w:val="00E70959"/>
    <w:rsid w:val="00E73433"/>
    <w:rsid w:val="00E753B5"/>
    <w:rsid w:val="00E84D3D"/>
    <w:rsid w:val="00E86B17"/>
    <w:rsid w:val="00E92140"/>
    <w:rsid w:val="00E93F6C"/>
    <w:rsid w:val="00E94AD4"/>
    <w:rsid w:val="00E96D92"/>
    <w:rsid w:val="00EA107F"/>
    <w:rsid w:val="00EA4262"/>
    <w:rsid w:val="00EA64B5"/>
    <w:rsid w:val="00EA779C"/>
    <w:rsid w:val="00EB3655"/>
    <w:rsid w:val="00EB666C"/>
    <w:rsid w:val="00ED0947"/>
    <w:rsid w:val="00ED7C38"/>
    <w:rsid w:val="00EE28FF"/>
    <w:rsid w:val="00EE579C"/>
    <w:rsid w:val="00EF4A68"/>
    <w:rsid w:val="00F069F6"/>
    <w:rsid w:val="00F21A52"/>
    <w:rsid w:val="00F26867"/>
    <w:rsid w:val="00F41BF9"/>
    <w:rsid w:val="00F432B6"/>
    <w:rsid w:val="00F43E8F"/>
    <w:rsid w:val="00F5070D"/>
    <w:rsid w:val="00F51942"/>
    <w:rsid w:val="00F70285"/>
    <w:rsid w:val="00F81C2E"/>
    <w:rsid w:val="00F85DE3"/>
    <w:rsid w:val="00F85E48"/>
    <w:rsid w:val="00F92761"/>
    <w:rsid w:val="00F944AD"/>
    <w:rsid w:val="00F97C17"/>
    <w:rsid w:val="00FA0CEA"/>
    <w:rsid w:val="00FA1A23"/>
    <w:rsid w:val="00FA4CF5"/>
    <w:rsid w:val="00FB28A0"/>
    <w:rsid w:val="00FB3441"/>
    <w:rsid w:val="00FC773B"/>
    <w:rsid w:val="00FD33F0"/>
    <w:rsid w:val="00FD41AE"/>
    <w:rsid w:val="00FD75C5"/>
    <w:rsid w:val="00FE628A"/>
    <w:rsid w:val="00FF5892"/>
    <w:rsid w:val="00FF6C89"/>
    <w:rsid w:val="7B005EB3"/>
    <w:rsid w:val="7EFB11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
    <w:pPr>
      <w:keepNext/>
      <w:keepLines/>
      <w:spacing w:before="260" w:after="260" w:line="416" w:lineRule="auto"/>
      <w:outlineLvl w:val="1"/>
    </w:pPr>
    <w:rPr>
      <w:rFonts w:ascii="Arial" w:hAnsi="Arial" w:eastAsia="黑体" w:cs="Times New Roman"/>
      <w:b/>
      <w:bCs/>
      <w:kern w:val="0"/>
      <w:sz w:val="32"/>
      <w:szCs w:val="32"/>
    </w:rPr>
  </w:style>
  <w:style w:type="character" w:default="1" w:styleId="14">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semiHidden/>
    <w:unhideWhenUsed/>
    <w:uiPriority w:val="99"/>
    <w:rPr>
      <w:b/>
      <w:bCs/>
    </w:rPr>
  </w:style>
  <w:style w:type="paragraph" w:styleId="5">
    <w:name w:val="annotation text"/>
    <w:basedOn w:val="1"/>
    <w:link w:val="26"/>
    <w:semiHidden/>
    <w:unhideWhenUsed/>
    <w:qFormat/>
    <w:uiPriority w:val="99"/>
    <w:pPr>
      <w:jc w:val="left"/>
    </w:pPr>
  </w:style>
  <w:style w:type="paragraph" w:styleId="6">
    <w:name w:val="Normal Indent"/>
    <w:basedOn w:val="1"/>
    <w:unhideWhenUsed/>
    <w:qFormat/>
    <w:uiPriority w:val="99"/>
    <w:pPr>
      <w:ind w:firstLine="420"/>
    </w:pPr>
    <w:rPr>
      <w:rFonts w:ascii="Times New Roman" w:hAnsi="Times New Roman" w:eastAsia="宋体" w:cs="Times New Roman"/>
      <w:szCs w:val="20"/>
    </w:rPr>
  </w:style>
  <w:style w:type="paragraph" w:styleId="7">
    <w:name w:val="Document Map"/>
    <w:basedOn w:val="1"/>
    <w:link w:val="23"/>
    <w:semiHidden/>
    <w:unhideWhenUsed/>
    <w:qFormat/>
    <w:uiPriority w:val="99"/>
    <w:rPr>
      <w:rFonts w:ascii="宋体" w:eastAsia="宋体"/>
      <w:sz w:val="18"/>
      <w:szCs w:val="18"/>
    </w:rPr>
  </w:style>
  <w:style w:type="paragraph" w:styleId="8">
    <w:name w:val="Balloon Text"/>
    <w:basedOn w:val="1"/>
    <w:link w:val="25"/>
    <w:semiHidden/>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rPr>
      <w:rFonts w:eastAsia="黑体"/>
      <w:sz w:val="24"/>
    </w:rPr>
  </w:style>
  <w:style w:type="paragraph" w:styleId="12">
    <w:name w:val="toc 2"/>
    <w:basedOn w:val="1"/>
    <w:next w:val="1"/>
    <w:unhideWhenUsed/>
    <w:qFormat/>
    <w:uiPriority w:val="39"/>
    <w:pPr>
      <w:ind w:left="420" w:leftChars="200"/>
    </w:pPr>
    <w:rPr>
      <w:rFonts w:eastAsia="黑体"/>
      <w:sz w:val="24"/>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FollowedHyperlink"/>
    <w:basedOn w:val="14"/>
    <w:semiHidden/>
    <w:unhideWhenUsed/>
    <w:qFormat/>
    <w:uiPriority w:val="99"/>
    <w:rPr>
      <w:color w:val="954F72"/>
      <w:u w:val="single"/>
    </w:rPr>
  </w:style>
  <w:style w:type="character" w:styleId="16">
    <w:name w:val="Hyperlink"/>
    <w:basedOn w:val="14"/>
    <w:unhideWhenUsed/>
    <w:qFormat/>
    <w:uiPriority w:val="99"/>
    <w:rPr>
      <w:color w:val="0000FF" w:themeColor="hyperlink"/>
      <w:u w:val="single"/>
    </w:rPr>
  </w:style>
  <w:style w:type="character" w:styleId="17">
    <w:name w:val="annotation reference"/>
    <w:basedOn w:val="14"/>
    <w:semiHidden/>
    <w:unhideWhenUsed/>
    <w:qFormat/>
    <w:uiPriority w:val="99"/>
    <w:rPr>
      <w:sz w:val="21"/>
      <w:szCs w:val="21"/>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页眉 Char"/>
    <w:basedOn w:val="14"/>
    <w:link w:val="10"/>
    <w:qFormat/>
    <w:uiPriority w:val="99"/>
    <w:rPr>
      <w:sz w:val="18"/>
      <w:szCs w:val="18"/>
    </w:rPr>
  </w:style>
  <w:style w:type="character" w:customStyle="1" w:styleId="21">
    <w:name w:val="页脚 Char"/>
    <w:basedOn w:val="14"/>
    <w:link w:val="9"/>
    <w:qFormat/>
    <w:uiPriority w:val="99"/>
    <w:rPr>
      <w:sz w:val="18"/>
      <w:szCs w:val="18"/>
    </w:rPr>
  </w:style>
  <w:style w:type="character" w:customStyle="1" w:styleId="22">
    <w:name w:val="标题 2 Char"/>
    <w:basedOn w:val="14"/>
    <w:link w:val="3"/>
    <w:qFormat/>
    <w:uiPriority w:val="9"/>
    <w:rPr>
      <w:rFonts w:ascii="Arial" w:hAnsi="Arial" w:eastAsia="黑体" w:cs="Times New Roman"/>
      <w:b/>
      <w:bCs/>
      <w:kern w:val="0"/>
      <w:sz w:val="32"/>
      <w:szCs w:val="32"/>
    </w:rPr>
  </w:style>
  <w:style w:type="character" w:customStyle="1" w:styleId="23">
    <w:name w:val="文档结构图 Char"/>
    <w:basedOn w:val="14"/>
    <w:link w:val="7"/>
    <w:semiHidden/>
    <w:qFormat/>
    <w:uiPriority w:val="99"/>
    <w:rPr>
      <w:rFonts w:ascii="宋体" w:eastAsia="宋体"/>
      <w:sz w:val="18"/>
      <w:szCs w:val="18"/>
    </w:rPr>
  </w:style>
  <w:style w:type="paragraph" w:styleId="24">
    <w:name w:val="List Paragraph"/>
    <w:basedOn w:val="1"/>
    <w:qFormat/>
    <w:uiPriority w:val="34"/>
    <w:pPr>
      <w:ind w:firstLine="420" w:firstLineChars="200"/>
    </w:pPr>
  </w:style>
  <w:style w:type="character" w:customStyle="1" w:styleId="25">
    <w:name w:val="批注框文本 Char"/>
    <w:basedOn w:val="14"/>
    <w:link w:val="8"/>
    <w:semiHidden/>
    <w:qFormat/>
    <w:uiPriority w:val="99"/>
    <w:rPr>
      <w:sz w:val="18"/>
      <w:szCs w:val="18"/>
    </w:rPr>
  </w:style>
  <w:style w:type="character" w:customStyle="1" w:styleId="26">
    <w:name w:val="批注文字 Char"/>
    <w:basedOn w:val="14"/>
    <w:link w:val="5"/>
    <w:semiHidden/>
    <w:qFormat/>
    <w:uiPriority w:val="99"/>
  </w:style>
  <w:style w:type="character" w:customStyle="1" w:styleId="27">
    <w:name w:val="批注主题 Char"/>
    <w:basedOn w:val="26"/>
    <w:link w:val="4"/>
    <w:semiHidden/>
    <w:qFormat/>
    <w:uiPriority w:val="99"/>
    <w:rPr>
      <w:b/>
      <w:bCs/>
    </w:rPr>
  </w:style>
  <w:style w:type="character" w:customStyle="1" w:styleId="28">
    <w:name w:val="标题 1 Char"/>
    <w:basedOn w:val="14"/>
    <w:link w:val="2"/>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CD832-C0BF-4C22-9B3F-1A6CF9F9E13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26</Pages>
  <Words>2263</Words>
  <Characters>12901</Characters>
  <Lines>107</Lines>
  <Paragraphs>30</Paragraphs>
  <TotalTime>49</TotalTime>
  <ScaleCrop>false</ScaleCrop>
  <LinksUpToDate>false</LinksUpToDate>
  <CharactersWithSpaces>15134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2018-12-10T00:17:00Z</dcterms:created>
  <dc:creator>Lenovo</dc:creator>
  <cp:lastModifiedBy>萌萌</cp:lastModifiedBy>
  <cp:lastPrinted>2019-01-02T05:20:39Z</cp:lastPrinted>
  <dcterms:modified xsi:type="dcterms:W3CDTF">2019-01-02T05:24:19Z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